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A11E9A">
      <w:pPr>
        <w:keepNext w:val="0"/>
        <w:keepLines w:val="0"/>
        <w:pageBreakBefore w:val="0"/>
        <w:kinsoku/>
        <w:wordWrap/>
        <w:overflowPunct/>
        <w:topLinePunct w:val="0"/>
        <w:autoSpaceDE/>
        <w:autoSpaceDN/>
        <w:bidi w:val="0"/>
        <w:spacing w:line="360" w:lineRule="auto"/>
        <w:jc w:val="left"/>
        <w:textAlignment w:val="auto"/>
        <w:outlineLvl w:val="1"/>
        <w:rPr>
          <w:rFonts w:hint="default" w:ascii="Times New Roman" w:hAnsi="Times New Roman" w:cs="Times New Roman"/>
          <w:b/>
        </w:rPr>
      </w:pPr>
      <w:r>
        <w:rPr>
          <w:rFonts w:hint="default" w:ascii="Times New Roman" w:hAnsi="Times New Roman" w:cs="Times New Roman"/>
          <w:b/>
        </w:rPr>
        <w:t>2.项目概况与</w:t>
      </w:r>
      <w:r>
        <w:rPr>
          <w:rFonts w:hint="default" w:cs="Times New Roman"/>
          <w:b/>
          <w:lang w:eastAsia="zh-CN"/>
        </w:rPr>
        <w:t>采购</w:t>
      </w:r>
      <w:r>
        <w:rPr>
          <w:rFonts w:hint="default" w:ascii="Times New Roman" w:hAnsi="Times New Roman" w:cs="Times New Roman"/>
          <w:b/>
        </w:rPr>
        <w:t>范围</w:t>
      </w:r>
    </w:p>
    <w:p w14:paraId="76E0F80F">
      <w:pPr>
        <w:keepNext w:val="0"/>
        <w:keepLines w:val="0"/>
        <w:pageBreakBefore w:val="0"/>
        <w:tabs>
          <w:tab w:val="center" w:pos="4422"/>
        </w:tabs>
        <w:kinsoku/>
        <w:wordWrap/>
        <w:overflowPunct/>
        <w:topLinePunct w:val="0"/>
        <w:autoSpaceDE/>
        <w:autoSpaceDN/>
        <w:bidi w:val="0"/>
        <w:spacing w:line="440" w:lineRule="exact"/>
        <w:ind w:firstLine="480" w:firstLineChars="200"/>
        <w:jc w:val="left"/>
        <w:textAlignment w:val="auto"/>
        <w:rPr>
          <w:rFonts w:hint="default" w:ascii="Times New Roman" w:hAnsi="Times New Roman" w:eastAsia="宋体" w:cs="Times New Roman"/>
          <w:lang w:eastAsia="zh-CN"/>
        </w:rPr>
      </w:pPr>
      <w:r>
        <w:rPr>
          <w:rFonts w:hint="default" w:ascii="Times New Roman" w:hAnsi="Times New Roman" w:cs="Times New Roman"/>
        </w:rPr>
        <w:t>2.1 项目概况</w:t>
      </w:r>
      <w:r>
        <w:rPr>
          <w:rFonts w:hint="default" w:cs="Times New Roman"/>
          <w:lang w:eastAsia="zh-CN"/>
        </w:rPr>
        <w:tab/>
      </w:r>
    </w:p>
    <w:p w14:paraId="5ACE7DDF">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default" w:cs="Times New Roman"/>
          <w:bCs/>
          <w:color w:val="auto"/>
          <w:szCs w:val="24"/>
          <w:highlight w:val="none"/>
          <w:u w:val="single"/>
          <w:lang w:val="en-US" w:eastAsia="zh-CN" w:bidi="ar"/>
        </w:rPr>
      </w:pPr>
      <w:r>
        <w:rPr>
          <w:rFonts w:hint="default" w:cs="Times New Roman"/>
          <w:bCs/>
          <w:color w:val="auto"/>
          <w:szCs w:val="24"/>
          <w:highlight w:val="none"/>
          <w:u w:val="single"/>
          <w:lang w:val="en-US" w:eastAsia="zh-CN" w:bidi="ar"/>
        </w:rPr>
        <w:t>G347云梦联合桥至护子潭大桥段改扩建工程，起于云梦联合桥以东约 200 米，G347 老路云梦与孝南交界处，与 G347 孝南段对接，后沿老路穿下辛店镇区，继而利用老路加宽扩建经老江村、熊家门至邓家门，在护子潭桥与G347 应城段对接,采用一级公路标准建设，起讫桩号为K0+000-k10+529，全长10.529公里。设计速度80km/h，双向四车道，路基宽度:一般路段为25.5m，集镇路段为36m。施工范围包括路基工程、路面工程、桥梁涵洞工程、平面交叉、绿化工程、交通安全防护设施及照明工程等</w:t>
      </w:r>
    </w:p>
    <w:p w14:paraId="1C4D6030">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default" w:cs="Times New Roman"/>
          <w:bCs/>
          <w:color w:val="auto"/>
          <w:szCs w:val="24"/>
          <w:highlight w:val="none"/>
          <w:u w:val="single"/>
          <w:lang w:val="en-US" w:eastAsia="zh-CN" w:bidi="ar"/>
        </w:rPr>
      </w:pPr>
      <w:r>
        <w:rPr>
          <w:rFonts w:hint="default" w:ascii="Times New Roman" w:hAnsi="Times New Roman" w:eastAsia="宋体" w:cs="Times New Roman"/>
          <w:bCs/>
          <w:color w:val="auto"/>
          <w:sz w:val="24"/>
          <w:szCs w:val="24"/>
          <w:highlight w:val="none"/>
          <w:u w:val="single"/>
          <w:lang w:val="en-US" w:eastAsia="zh-CN" w:bidi="ar"/>
        </w:rPr>
        <w:t>S211云梦应城界点永兴至道桥段改建工程K0+000～K6+446.83段总体施工工程，本项目起讫里程为K0+000～K6+446.83，路线全长6.447km，湖北长江路桥有限公司中标本项目施工总承包。湖北长江路桥有限公司承接全段面总体施工，路线全长6.447km，主要工程内容包括范围内路基、路面、挡土墙、护坡、交安及绿化工程施工。</w:t>
      </w:r>
    </w:p>
    <w:p w14:paraId="4D2B6537">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default" w:ascii="Times New Roman" w:hAnsi="Times New Roman" w:cs="Times New Roman"/>
          <w:lang w:bidi="ar"/>
        </w:rPr>
      </w:pPr>
      <w:r>
        <w:rPr>
          <w:rFonts w:hint="default" w:ascii="Times New Roman" w:hAnsi="Times New Roman" w:cs="Times New Roman"/>
        </w:rPr>
        <w:t xml:space="preserve">2.2 </w:t>
      </w:r>
      <w:r>
        <w:rPr>
          <w:rFonts w:hint="default" w:cs="Times New Roman"/>
          <w:lang w:eastAsia="zh-CN"/>
        </w:rPr>
        <w:t>采购</w:t>
      </w:r>
      <w:r>
        <w:rPr>
          <w:rFonts w:hint="default" w:ascii="Times New Roman" w:hAnsi="Times New Roman" w:cs="Times New Roman"/>
        </w:rPr>
        <w:t>范围</w:t>
      </w:r>
    </w:p>
    <w:p w14:paraId="17E84D37">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default" w:eastAsia="宋体" w:cs="Times New Roman"/>
          <w:u w:val="single"/>
          <w:lang w:val="en-US" w:eastAsia="zh-CN" w:bidi="ar"/>
        </w:rPr>
      </w:pPr>
      <w:r>
        <w:rPr>
          <w:rFonts w:hint="default" w:ascii="Times New Roman" w:hAnsi="Times New Roman" w:cs="Times New Roman"/>
          <w:lang w:bidi="ar"/>
        </w:rPr>
        <w:t>本次</w:t>
      </w:r>
      <w:r>
        <w:rPr>
          <w:rFonts w:hint="default" w:cs="Times New Roman"/>
          <w:lang w:eastAsia="zh-CN" w:bidi="ar"/>
        </w:rPr>
        <w:t>采购</w:t>
      </w:r>
      <w:r>
        <w:rPr>
          <w:rFonts w:hint="default" w:ascii="Times New Roman" w:hAnsi="Times New Roman" w:cs="Times New Roman"/>
          <w:lang w:bidi="ar"/>
        </w:rPr>
        <w:t>共划</w:t>
      </w:r>
      <w:r>
        <w:rPr>
          <w:rFonts w:hint="default" w:ascii="Times New Roman" w:hAnsi="Times New Roman" w:cs="Times New Roman"/>
          <w:lang w:val="en-US" w:eastAsia="zh-CN" w:bidi="ar"/>
        </w:rPr>
        <w:t>分</w:t>
      </w:r>
      <w:r>
        <w:rPr>
          <w:rFonts w:hint="eastAsia" w:cs="Times New Roman"/>
          <w:u w:val="single"/>
          <w:lang w:val="en-US" w:eastAsia="zh-CN" w:bidi="ar"/>
        </w:rPr>
        <w:t>2</w:t>
      </w:r>
      <w:r>
        <w:rPr>
          <w:rFonts w:hint="default" w:ascii="Times New Roman" w:hAnsi="Times New Roman" w:cs="Times New Roman"/>
          <w:lang w:bidi="ar"/>
        </w:rPr>
        <w:t>个合同包，</w:t>
      </w:r>
      <w:r>
        <w:rPr>
          <w:rFonts w:hint="eastAsia" w:cs="Times New Roman"/>
          <w:u w:val="single"/>
          <w:lang w:val="en-US" w:eastAsia="zh-CN" w:bidi="ar"/>
        </w:rPr>
        <w:t>第1合同包为</w:t>
      </w:r>
      <w:r>
        <w:rPr>
          <w:rFonts w:hint="default" w:cs="Times New Roman"/>
          <w:bCs/>
          <w:color w:val="auto"/>
          <w:szCs w:val="24"/>
          <w:highlight w:val="none"/>
          <w:u w:val="single"/>
          <w:lang w:val="en-US" w:eastAsia="zh-CN" w:bidi="ar"/>
        </w:rPr>
        <w:t>G347云梦联合桥至护子潭大桥段改扩建工程</w:t>
      </w:r>
      <w:r>
        <w:rPr>
          <w:rFonts w:hint="eastAsia" w:cs="Times New Roman"/>
          <w:bCs/>
          <w:color w:val="auto"/>
          <w:szCs w:val="24"/>
          <w:highlight w:val="none"/>
          <w:u w:val="single"/>
          <w:lang w:val="en-US" w:eastAsia="zh-CN" w:bidi="ar"/>
        </w:rPr>
        <w:t>一期路基工程安全及保通物资采购，第2合同包为</w:t>
      </w:r>
      <w:r>
        <w:rPr>
          <w:rFonts w:hint="default" w:ascii="Times New Roman" w:hAnsi="Times New Roman" w:eastAsia="宋体" w:cs="Times New Roman"/>
          <w:bCs/>
          <w:color w:val="auto"/>
          <w:sz w:val="24"/>
          <w:szCs w:val="24"/>
          <w:highlight w:val="none"/>
          <w:u w:val="single"/>
          <w:lang w:val="en-US" w:eastAsia="zh-CN" w:bidi="ar"/>
        </w:rPr>
        <w:t>S211云梦应城界点永兴至道桥段改建工程</w:t>
      </w:r>
      <w:r>
        <w:rPr>
          <w:rFonts w:hint="eastAsia" w:cs="Times New Roman"/>
          <w:bCs/>
          <w:color w:val="auto"/>
          <w:sz w:val="24"/>
          <w:szCs w:val="24"/>
          <w:highlight w:val="none"/>
          <w:u w:val="single"/>
          <w:lang w:val="en-US" w:eastAsia="zh-CN" w:bidi="ar"/>
        </w:rPr>
        <w:t>安全及保通物资采购，</w:t>
      </w:r>
      <w:r>
        <w:rPr>
          <w:rFonts w:hint="default" w:ascii="Times New Roman" w:hAnsi="Times New Roman" w:cs="Times New Roman"/>
          <w:u w:val="single"/>
          <w:lang w:bidi="ar"/>
        </w:rPr>
        <w:t>具体</w:t>
      </w:r>
      <w:r>
        <w:rPr>
          <w:rFonts w:hint="default" w:cs="Times New Roman"/>
          <w:u w:val="single"/>
          <w:lang w:eastAsia="zh-CN" w:bidi="ar"/>
        </w:rPr>
        <w:t>采购</w:t>
      </w:r>
      <w:r>
        <w:rPr>
          <w:rFonts w:hint="default" w:ascii="Times New Roman" w:hAnsi="Times New Roman" w:cs="Times New Roman"/>
          <w:u w:val="single"/>
          <w:lang w:bidi="ar"/>
        </w:rPr>
        <w:t>范围</w:t>
      </w:r>
      <w:r>
        <w:rPr>
          <w:rFonts w:hint="eastAsia" w:cs="Times New Roman"/>
          <w:u w:val="single"/>
          <w:lang w:val="en-US" w:eastAsia="zh-CN" w:bidi="ar"/>
        </w:rPr>
        <w:t>详见附件1。</w:t>
      </w:r>
    </w:p>
    <w:p w14:paraId="5A7A28B7">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2.3 供货起始时间：</w:t>
      </w:r>
      <w:r>
        <w:rPr>
          <w:rFonts w:hint="default" w:cs="Times New Roman"/>
          <w:u w:val="single"/>
          <w:lang w:val="en-US" w:eastAsia="zh-CN"/>
        </w:rPr>
        <w:t xml:space="preserve"> </w:t>
      </w:r>
      <w:r>
        <w:rPr>
          <w:rFonts w:hint="eastAsia" w:cs="Times New Roman"/>
          <w:u w:val="single"/>
          <w:lang w:val="en-US" w:eastAsia="zh-CN"/>
        </w:rPr>
        <w:t>2</w:t>
      </w:r>
      <w:r>
        <w:rPr>
          <w:rFonts w:hint="eastAsia" w:cs="Times New Roman"/>
          <w:color w:val="auto"/>
          <w:u w:val="single"/>
          <w:lang w:val="en-US" w:eastAsia="zh-CN"/>
        </w:rPr>
        <w:t>02</w:t>
      </w:r>
      <w:r>
        <w:rPr>
          <w:rFonts w:hint="default" w:cs="Times New Roman"/>
          <w:color w:val="auto"/>
          <w:u w:val="single"/>
          <w:lang w:val="en-US" w:eastAsia="zh-CN"/>
        </w:rPr>
        <w:t>5年</w:t>
      </w:r>
      <w:r>
        <w:rPr>
          <w:rFonts w:hint="eastAsia" w:cs="Times New Roman"/>
          <w:u w:val="single"/>
          <w:lang w:val="en-US" w:eastAsia="zh-CN"/>
        </w:rPr>
        <w:t>6</w:t>
      </w:r>
      <w:r>
        <w:rPr>
          <w:rFonts w:hint="default" w:cs="Times New Roman"/>
          <w:u w:val="single"/>
          <w:lang w:val="en-US" w:eastAsia="zh-CN"/>
        </w:rPr>
        <w:t>月</w:t>
      </w:r>
      <w:r>
        <w:rPr>
          <w:rFonts w:hint="default" w:cs="Times New Roman"/>
          <w:lang w:val="en-US" w:eastAsia="zh-CN"/>
        </w:rPr>
        <w:t>，具体以采购人通知为准。</w:t>
      </w:r>
    </w:p>
    <w:p w14:paraId="6F2C475D">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2.4 供货地点：</w:t>
      </w:r>
      <w:r>
        <w:rPr>
          <w:rFonts w:hint="default" w:cs="Times New Roman"/>
          <w:u w:val="single"/>
          <w:lang w:val="en-US" w:eastAsia="zh-CN"/>
        </w:rPr>
        <w:t xml:space="preserve">  </w:t>
      </w:r>
      <w:r>
        <w:rPr>
          <w:rFonts w:hint="eastAsia" w:cs="Times New Roman"/>
          <w:u w:val="single"/>
          <w:lang w:val="en-US" w:eastAsia="zh-CN"/>
        </w:rPr>
        <w:t>湖北省孝感市云梦县湖北长江路桥有限公司云梦分公司</w:t>
      </w:r>
      <w:r>
        <w:rPr>
          <w:rFonts w:hint="default" w:cs="Times New Roman"/>
          <w:u w:val="single"/>
          <w:lang w:val="en-US" w:eastAsia="zh-CN"/>
        </w:rPr>
        <w:t xml:space="preserve"> </w:t>
      </w:r>
      <w:r>
        <w:rPr>
          <w:rFonts w:hint="default" w:cs="Times New Roman"/>
          <w:lang w:val="en-US" w:eastAsia="zh-CN"/>
        </w:rPr>
        <w:t>。</w:t>
      </w:r>
    </w:p>
    <w:p w14:paraId="76352DD6">
      <w:pPr>
        <w:keepNext w:val="0"/>
        <w:keepLines w:val="0"/>
        <w:pageBreakBefore w:val="0"/>
        <w:kinsoku/>
        <w:overflowPunct/>
        <w:topLinePunct w:val="0"/>
        <w:autoSpaceDE/>
        <w:autoSpaceDN/>
        <w:bidi w:val="0"/>
        <w:spacing w:line="360" w:lineRule="auto"/>
        <w:jc w:val="left"/>
        <w:rPr>
          <w:rFonts w:hint="default" w:ascii="Times New Roman" w:hAnsi="Times New Roman" w:cs="Times New Roman"/>
          <w:color w:val="auto"/>
          <w:sz w:val="32"/>
          <w:szCs w:val="32"/>
        </w:rPr>
        <w:sectPr>
          <w:footerReference r:id="rId3" w:type="default"/>
          <w:pgSz w:w="11906" w:h="16838"/>
          <w:pgMar w:top="1587" w:right="1474" w:bottom="1474" w:left="1587" w:header="851" w:footer="992" w:gutter="0"/>
          <w:pgNumType w:fmt="numberInDash"/>
          <w:cols w:space="720" w:num="1"/>
          <w:docGrid w:type="lines" w:linePitch="312" w:charSpace="0"/>
        </w:sectPr>
      </w:pPr>
      <w:r>
        <w:rPr>
          <w:rFonts w:hint="default" w:ascii="Times New Roman" w:hAnsi="Times New Roman" w:cs="Times New Roman"/>
        </w:rPr>
        <w:t>2.</w:t>
      </w:r>
      <w:r>
        <w:rPr>
          <w:rFonts w:hint="default" w:cs="Times New Roman"/>
          <w:lang w:val="en-US" w:eastAsia="zh-CN"/>
        </w:rPr>
        <w:t>5</w:t>
      </w:r>
      <w:r>
        <w:rPr>
          <w:rFonts w:hint="default" w:ascii="Times New Roman" w:hAnsi="Times New Roman" w:cs="Times New Roman"/>
        </w:rPr>
        <w:t xml:space="preserve"> 质量标准</w:t>
      </w:r>
      <w:r>
        <w:rPr>
          <w:rFonts w:hint="default" w:cs="Times New Roman"/>
          <w:lang w:eastAsia="zh-CN"/>
        </w:rPr>
        <w:t>：</w:t>
      </w:r>
      <w:r>
        <w:rPr>
          <w:rFonts w:hint="default" w:cs="Times New Roman"/>
          <w:u w:val="single"/>
          <w:lang w:val="en-US" w:eastAsia="zh-CN"/>
        </w:rPr>
        <w:t>符合国家及行业标准</w:t>
      </w:r>
      <w:r>
        <w:rPr>
          <w:rFonts w:hint="default" w:cs="Times New Roman"/>
          <w:u w:val="none"/>
          <w:lang w:val="en-US" w:eastAsia="zh-CN"/>
        </w:rPr>
        <w:t>。</w:t>
      </w:r>
      <w:bookmarkStart w:id="0" w:name="_GoBack"/>
      <w:bookmarkEnd w:id="0"/>
    </w:p>
    <w:p w14:paraId="2DD4F183">
      <w:pPr>
        <w:keepNext w:val="0"/>
        <w:keepLines w:val="0"/>
        <w:pageBreakBefore w:val="0"/>
        <w:kinsoku/>
        <w:overflowPunct/>
        <w:topLinePunct w:val="0"/>
        <w:autoSpaceDE/>
        <w:autoSpaceDN/>
        <w:bidi w:val="0"/>
        <w:spacing w:line="360" w:lineRule="auto"/>
        <w:jc w:val="left"/>
        <w:rPr>
          <w:rFonts w:hint="eastAsia" w:cs="Times New Roman"/>
          <w:color w:val="auto"/>
          <w:sz w:val="32"/>
          <w:szCs w:val="32"/>
          <w:lang w:val="en-US" w:eastAsia="zh-CN"/>
        </w:rPr>
      </w:pPr>
      <w:r>
        <w:rPr>
          <w:rFonts w:hint="default" w:ascii="Times New Roman" w:hAnsi="Times New Roman" w:cs="Times New Roman"/>
          <w:color w:val="auto"/>
          <w:sz w:val="32"/>
          <w:szCs w:val="32"/>
        </w:rPr>
        <w:t>附件</w:t>
      </w:r>
      <w:r>
        <w:rPr>
          <w:rFonts w:hint="eastAsia" w:cs="Times New Roman"/>
          <w:color w:val="auto"/>
          <w:sz w:val="32"/>
          <w:szCs w:val="32"/>
          <w:lang w:val="en-US" w:eastAsia="zh-CN"/>
        </w:rPr>
        <w:t>1</w:t>
      </w:r>
    </w:p>
    <w:p w14:paraId="7FD1841B">
      <w:pPr>
        <w:keepNext w:val="0"/>
        <w:keepLines w:val="0"/>
        <w:pageBreakBefore w:val="0"/>
        <w:kinsoku/>
        <w:overflowPunct/>
        <w:topLinePunct w:val="0"/>
        <w:autoSpaceDE/>
        <w:autoSpaceDN/>
        <w:bidi w:val="0"/>
        <w:spacing w:line="360" w:lineRule="auto"/>
        <w:ind w:firstLine="3080" w:firstLineChars="1100"/>
        <w:jc w:val="left"/>
        <w:rPr>
          <w:rFonts w:hint="eastAsia"/>
          <w:lang w:val="en-US" w:eastAsia="zh-CN"/>
        </w:rPr>
      </w:pPr>
      <w:r>
        <w:rPr>
          <w:rFonts w:hint="eastAsia" w:ascii="宋体" w:hAnsi="宋体" w:cs="宋体"/>
          <w:i w:val="0"/>
          <w:iCs w:val="0"/>
          <w:color w:val="000000"/>
          <w:kern w:val="0"/>
          <w:sz w:val="28"/>
          <w:szCs w:val="28"/>
          <w:u w:val="none"/>
          <w:lang w:val="en-US" w:eastAsia="zh-CN" w:bidi="ar"/>
        </w:rPr>
        <w:t>第1包</w:t>
      </w:r>
      <w:r>
        <w:rPr>
          <w:rFonts w:hint="eastAsia" w:ascii="宋体" w:hAnsi="宋体" w:eastAsia="宋体" w:cs="宋体"/>
          <w:i w:val="0"/>
          <w:iCs w:val="0"/>
          <w:color w:val="000000"/>
          <w:kern w:val="0"/>
          <w:sz w:val="28"/>
          <w:szCs w:val="28"/>
          <w:u w:val="none"/>
          <w:lang w:val="en-US" w:eastAsia="zh-CN" w:bidi="ar"/>
        </w:rPr>
        <w:t>材料需求明细</w:t>
      </w:r>
    </w:p>
    <w:tbl>
      <w:tblPr>
        <w:tblStyle w:val="8"/>
        <w:tblW w:w="882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4"/>
        <w:gridCol w:w="2479"/>
        <w:gridCol w:w="4350"/>
        <w:gridCol w:w="745"/>
        <w:gridCol w:w="716"/>
      </w:tblGrid>
      <w:tr w14:paraId="487B2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57D4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AD1B3">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E5DE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3A90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A08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14:paraId="73E2C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706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EF6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消防柜套装</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71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含铁锹4把、破拆斧2把、消防桶4个、灭火器2个</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09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503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349FE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34" w:type="dxa"/>
            <w:tcBorders>
              <w:top w:val="nil"/>
              <w:left w:val="single" w:color="000000" w:sz="4" w:space="0"/>
              <w:bottom w:val="single" w:color="000000" w:sz="4" w:space="0"/>
              <w:right w:val="single" w:color="000000" w:sz="4" w:space="0"/>
            </w:tcBorders>
            <w:shd w:val="clear" w:color="auto" w:fill="auto"/>
            <w:vAlign w:val="center"/>
          </w:tcPr>
          <w:p w14:paraId="779966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79" w:type="dxa"/>
            <w:tcBorders>
              <w:top w:val="nil"/>
              <w:left w:val="single" w:color="000000" w:sz="4" w:space="0"/>
              <w:bottom w:val="single" w:color="000000" w:sz="4" w:space="0"/>
              <w:right w:val="single" w:color="000000" w:sz="4" w:space="0"/>
            </w:tcBorders>
            <w:shd w:val="clear" w:color="auto" w:fill="auto"/>
            <w:vAlign w:val="center"/>
          </w:tcPr>
          <w:p w14:paraId="5D8D7F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消防锹</w:t>
            </w:r>
          </w:p>
        </w:tc>
        <w:tc>
          <w:tcPr>
            <w:tcW w:w="4350" w:type="dxa"/>
            <w:tcBorders>
              <w:top w:val="nil"/>
              <w:left w:val="single" w:color="000000" w:sz="4" w:space="0"/>
              <w:bottom w:val="single" w:color="000000" w:sz="4" w:space="0"/>
              <w:right w:val="single" w:color="000000" w:sz="4" w:space="0"/>
            </w:tcBorders>
            <w:shd w:val="clear" w:color="auto" w:fill="auto"/>
            <w:vAlign w:val="center"/>
          </w:tcPr>
          <w:p w14:paraId="02E437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L1000 2kg</w:t>
            </w:r>
          </w:p>
        </w:tc>
        <w:tc>
          <w:tcPr>
            <w:tcW w:w="745" w:type="dxa"/>
            <w:tcBorders>
              <w:top w:val="nil"/>
              <w:left w:val="single" w:color="000000" w:sz="4" w:space="0"/>
              <w:bottom w:val="single" w:color="000000" w:sz="4" w:space="0"/>
              <w:right w:val="single" w:color="000000" w:sz="4" w:space="0"/>
            </w:tcBorders>
            <w:shd w:val="clear" w:color="auto" w:fill="auto"/>
            <w:vAlign w:val="center"/>
          </w:tcPr>
          <w:p w14:paraId="670C37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958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31FC8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1CF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19D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消防桶</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40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L260*W160*H210</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D1C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CB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58E3F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05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5F4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手提式干粉灭火器</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E18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L130*H480   4KG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337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E14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r>
      <w:tr w14:paraId="620D5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AC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FA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灭火器箱</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7E8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L330*W180*H510  4KG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21D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D6D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r>
      <w:tr w14:paraId="18347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96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127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手推式泡沫灭火器</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5D5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36KG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B93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2E6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4CB81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362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E6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消防沙箱</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D2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L2000*W1000*H1170，2mm镀锌板喷漆</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74D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AB7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CE04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1F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60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编织袋</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7D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L120*W80，抗旱防汛专用</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20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8EE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r>
      <w:tr w14:paraId="662FB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B1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20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医疗箱</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FB0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12寸，铝合金材质</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D5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2DD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3A415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2CE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CB9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担架</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10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称重120KG,200*53CM 加厚镀锌钢管，PVC面料</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E89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1C7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7A3B5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E62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876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救援绳</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1A8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钢丝芯</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04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A15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r>
      <w:tr w14:paraId="6B4C4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BA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E63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草垫</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54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雪天防滑</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1C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384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r>
      <w:tr w14:paraId="5B4C4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D64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318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融雪剂</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F5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50斤装</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9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3E9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r>
      <w:tr w14:paraId="6D74B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E8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D18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防滑链</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2EB3">
            <w:pPr>
              <w:jc w:val="center"/>
              <w:rPr>
                <w:rFonts w:hint="eastAsia" w:ascii="宋体" w:hAnsi="宋体" w:eastAsia="宋体" w:cs="宋体"/>
                <w:i w:val="0"/>
                <w:iCs w:val="0"/>
                <w:color w:val="000000"/>
                <w:sz w:val="20"/>
                <w:szCs w:val="20"/>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0B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幅</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53B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14:paraId="3D079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7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94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劳保鞋</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47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均码</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45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23C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0B76E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97E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9C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冬季军大衣</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F00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均码，防风面料，加厚棉里内胆</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F53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73F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r>
      <w:tr w14:paraId="360B2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A09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5A7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反光雨衣</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54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材质:150D牛津布；防水涂层:PVC；反光条:高亮；内衬材质:网布</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5CE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7F8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r>
      <w:tr w14:paraId="7879C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BE5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479" w:type="dxa"/>
            <w:tcBorders>
              <w:top w:val="single" w:color="000000" w:sz="4" w:space="0"/>
              <w:left w:val="single" w:color="000000" w:sz="4" w:space="0"/>
              <w:bottom w:val="nil"/>
              <w:right w:val="single" w:color="000000" w:sz="4" w:space="0"/>
            </w:tcBorders>
            <w:shd w:val="clear" w:color="auto" w:fill="auto"/>
            <w:vAlign w:val="center"/>
          </w:tcPr>
          <w:p w14:paraId="109239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雨靴</w:t>
            </w:r>
          </w:p>
        </w:tc>
        <w:tc>
          <w:tcPr>
            <w:tcW w:w="4350" w:type="dxa"/>
            <w:tcBorders>
              <w:top w:val="single" w:color="000000" w:sz="4" w:space="0"/>
              <w:left w:val="single" w:color="000000" w:sz="4" w:space="0"/>
              <w:bottom w:val="nil"/>
              <w:right w:val="single" w:color="000000" w:sz="4" w:space="0"/>
            </w:tcBorders>
            <w:shd w:val="clear" w:color="auto" w:fill="auto"/>
            <w:vAlign w:val="center"/>
          </w:tcPr>
          <w:p w14:paraId="30937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产品面料:注塑；鞋底面料:牛筋底；内里面料:内衬布；靴身:PVC材质化纤易干内里</w:t>
            </w:r>
          </w:p>
        </w:tc>
        <w:tc>
          <w:tcPr>
            <w:tcW w:w="745" w:type="dxa"/>
            <w:tcBorders>
              <w:top w:val="single" w:color="000000" w:sz="4" w:space="0"/>
              <w:left w:val="single" w:color="000000" w:sz="4" w:space="0"/>
              <w:bottom w:val="nil"/>
              <w:right w:val="single" w:color="000000" w:sz="4" w:space="0"/>
            </w:tcBorders>
            <w:shd w:val="clear" w:color="auto" w:fill="auto"/>
            <w:vAlign w:val="center"/>
          </w:tcPr>
          <w:p w14:paraId="00F7A7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7AC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r>
      <w:tr w14:paraId="7F701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CA6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44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绝缘手套</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9EC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电焊工专用，橡胶涂层、防滑耐磨</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C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4AE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r>
      <w:tr w14:paraId="7E1DE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5D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7D2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保温鞋</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F43F">
            <w:pPr>
              <w:jc w:val="center"/>
              <w:rPr>
                <w:rFonts w:hint="eastAsia" w:ascii="宋体" w:hAnsi="宋体" w:eastAsia="宋体" w:cs="宋体"/>
                <w:i w:val="0"/>
                <w:iCs w:val="0"/>
                <w:color w:val="000000"/>
                <w:sz w:val="20"/>
                <w:szCs w:val="20"/>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BF0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811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r>
      <w:tr w14:paraId="325AC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02A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8C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棉手套</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88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加密棉纱线、通用劳保手套、防隔等级:1级、磨等级:3级</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00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AE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r>
      <w:tr w14:paraId="27E86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9CD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86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凉棚</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96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3m*3m帐篷</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6B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254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14:paraId="059C4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40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DBA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安全帽（黄色）</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9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前面印有湖北交投；后面印有建设集团、编号；适用人群:作业人员</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306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7EA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r>
      <w:tr w14:paraId="6666D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7BB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723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安全帽(白.红)</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47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前面印有湖北交投；后面印有建设集团、编号；适用人群:作业人员</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1B5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03D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r>
      <w:tr w14:paraId="1320B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21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F6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反光背心</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783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材质:120g精编布；反光条:高亮</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8D2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E8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r>
      <w:tr w14:paraId="54F82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824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A4C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反光马甲（蓝）</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058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材质:120g精编布；反光条:高亮</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04C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53F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r>
      <w:tr w14:paraId="280EE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32C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74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反光马甲(红)</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624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材质:120g精编布；反光条:高亮</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26A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CB6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r>
      <w:tr w14:paraId="50093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92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0C1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安全带</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488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五点式，2000双 大钩(新国标)</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A39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2B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08946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CDB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8D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安全袖章</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EAB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L400*W130帆布材质</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DBE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71D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r>
      <w:tr w14:paraId="0F78D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EA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B99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对讲机</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B33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手持式无线对讲机，两只装，工程塑料外壳，含主机、电池天线、座充，通话保密等功能</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38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2ED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02445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D84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28B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护目镜</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06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170mm*85mm，高透光材料，聚碳酸酯材料，具备防刮擦、防冲击、防风沙、防尘、防飞溅功能。</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3F8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186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4EB92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25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1E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绝缘服</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3F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电焊工专用</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5C3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35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14:paraId="3B0E6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00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DEE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手持式扩音器</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8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高低音双喇叭，300s录音，无线蓝牙</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1B3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1F1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14:paraId="5D935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27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BF1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焊接用眼防护具</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A8A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防护等级DIN16,灰尘挡流板面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罩PP材质，头箍可调节。</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B7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57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2ACC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2A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1E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LED灯带</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A22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100米一卷LED三色灯带</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881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8FD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r>
      <w:tr w14:paraId="7775E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BBF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3A1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黄色频闪灯</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A7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24v配LED灯光源保修一年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L460*W130*H420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LED灯珠Φ400mm：150 颗（黄闪)70颗(慢字）可视距离&gt;1200米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控制器光控，可控制全天闪烁，晚上闪烁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工作时间太阳下充电8小时可以工作72小时,连续放电200H</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D84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ED7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r>
      <w:tr w14:paraId="5CA56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7D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F1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警示爆闪灯</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45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警示爆闪灯：L470*W170*H90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材质ABS，6V/4.5A免维护锂电池，9V/5w多晶硅太阳能板，单灯板20颗高亮红/蓝灯珠，带光控模式，可设置白天是否亮灯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带支架1.8*2M：H2500，可按实际情况定制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Φ76镀锌管制作焊接</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05B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80F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r>
      <w:tr w14:paraId="0BC58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DD8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355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夜间施工肩灯</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8B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LED充电式爆闪灯</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FFF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E0E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r>
      <w:tr w14:paraId="50042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C6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4E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手持式灯具（可充式）</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AB2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充电强光款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高亮远射、多档调光、合金铝材外壳、防水防尘</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54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0DA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3D6D8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68E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5E4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夜间照明投光灯</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308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100W投光灯</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A69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843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51547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83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168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应急照明灯</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E50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双灯头、高亮度LED灯珠、应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急时间大于90分钟，防护等级IP30</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1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3E3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20156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49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2C1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太阳能小黄灯</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4C3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L130*W75*H160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发光源：1Opcsled直径5MM*10PCS，高度为3000-5000MCD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闪光频率：60次/分钟误差频率:5%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LED灯珠：超亮LED，可视距离&gt;300 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供电方式：太阳能电池（单晶硅）0.3w 1.2V/800mAh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工作环境：在-25- +65摄氏度可正常工作，防护等级IP65</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46E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6E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14:paraId="08BD3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EA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14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太阳能回转爆闪灯</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66A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圆形灯面尺寸Φ570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太阳下充电8小时可以工作72小时,连续放电 200H以上，每组9颗超亮LED,可视距离： &gt;800 米</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3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529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07ECF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57A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479" w:type="dxa"/>
            <w:tcBorders>
              <w:top w:val="nil"/>
              <w:left w:val="single" w:color="000000" w:sz="4" w:space="0"/>
              <w:bottom w:val="single" w:color="000000" w:sz="4" w:space="0"/>
              <w:right w:val="single" w:color="000000" w:sz="4" w:space="0"/>
            </w:tcBorders>
            <w:shd w:val="clear" w:color="auto" w:fill="auto"/>
            <w:vAlign w:val="center"/>
          </w:tcPr>
          <w:p w14:paraId="05964B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移动发电机</w:t>
            </w:r>
          </w:p>
        </w:tc>
        <w:tc>
          <w:tcPr>
            <w:tcW w:w="4350" w:type="dxa"/>
            <w:tcBorders>
              <w:top w:val="nil"/>
              <w:left w:val="single" w:color="000000" w:sz="4" w:space="0"/>
              <w:bottom w:val="single" w:color="000000" w:sz="4" w:space="0"/>
              <w:right w:val="single" w:color="000000" w:sz="4" w:space="0"/>
            </w:tcBorders>
            <w:shd w:val="clear" w:color="auto" w:fill="auto"/>
            <w:vAlign w:val="center"/>
          </w:tcPr>
          <w:p w14:paraId="7D0E2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6.5KW手启动汽油版</w:t>
            </w:r>
          </w:p>
        </w:tc>
        <w:tc>
          <w:tcPr>
            <w:tcW w:w="745" w:type="dxa"/>
            <w:tcBorders>
              <w:top w:val="nil"/>
              <w:left w:val="single" w:color="000000" w:sz="4" w:space="0"/>
              <w:bottom w:val="single" w:color="000000" w:sz="4" w:space="0"/>
              <w:right w:val="single" w:color="000000" w:sz="4" w:space="0"/>
            </w:tcBorders>
            <w:shd w:val="clear" w:color="auto" w:fill="auto"/>
            <w:vAlign w:val="center"/>
          </w:tcPr>
          <w:p w14:paraId="34C34D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7F5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424F0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027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AC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漏电保护器400A</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89BA">
            <w:pPr>
              <w:jc w:val="center"/>
              <w:rPr>
                <w:rFonts w:hint="eastAsia" w:ascii="宋体" w:hAnsi="宋体" w:eastAsia="宋体" w:cs="宋体"/>
                <w:i w:val="0"/>
                <w:iCs w:val="0"/>
                <w:color w:val="000000"/>
                <w:sz w:val="20"/>
                <w:szCs w:val="20"/>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178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EE8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r>
      <w:tr w14:paraId="494DB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22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AC5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漏电保护器630A</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CB61">
            <w:pPr>
              <w:jc w:val="center"/>
              <w:rPr>
                <w:rFonts w:hint="eastAsia" w:ascii="宋体" w:hAnsi="宋体" w:eastAsia="宋体" w:cs="宋体"/>
                <w:i w:val="0"/>
                <w:iCs w:val="0"/>
                <w:color w:val="000000"/>
                <w:sz w:val="20"/>
                <w:szCs w:val="20"/>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38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8DD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r>
      <w:tr w14:paraId="60E11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BA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72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空气开关63A</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96C08">
            <w:pPr>
              <w:jc w:val="center"/>
              <w:rPr>
                <w:rFonts w:hint="eastAsia" w:ascii="宋体" w:hAnsi="宋体" w:eastAsia="宋体" w:cs="宋体"/>
                <w:i w:val="0"/>
                <w:iCs w:val="0"/>
                <w:color w:val="000000"/>
                <w:sz w:val="20"/>
                <w:szCs w:val="20"/>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1F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E1D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r>
      <w:tr w14:paraId="78A70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A7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11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空气开关100A</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48066">
            <w:pPr>
              <w:jc w:val="center"/>
              <w:rPr>
                <w:rFonts w:hint="eastAsia" w:ascii="宋体" w:hAnsi="宋体" w:eastAsia="宋体" w:cs="宋体"/>
                <w:i w:val="0"/>
                <w:iCs w:val="0"/>
                <w:color w:val="000000"/>
                <w:sz w:val="20"/>
                <w:szCs w:val="20"/>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58B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77E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r>
      <w:tr w14:paraId="6FB99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F1A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FD1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荷兰网</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3B6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包塑铁丝网  高2米×5厘米间距孔</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76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452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14:paraId="3A6E7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EAB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C4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护棚</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308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1mm厚彩钢瓦雨棚，1.5mm厚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30πm*30mm镀锌方管整体结构，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喷红色油漆贴白色3M反光膜</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B01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米</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AC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0110A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94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B54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不锈钢岗亭</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6EB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L2000*W3000*H2400</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1E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CC7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438E3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C8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F70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指挥棒</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5C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充电式交通闪光棒：L400，Φ37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高透光性聚碳酸酯、PC，超高亮防雾LED，回订做LED灯珠颜色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电子哨音：&gt;120DB</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CF1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3F4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6F971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25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5B8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盘式警戒带</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70D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100米*W40/卷，黄白相间、塑料、涤纶条、印刷字样：警戒线</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64A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4F1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r>
      <w:tr w14:paraId="6CD6F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1D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1B1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锥桶套</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0EE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印湖北交投长江路桥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适用于H900的橡胶锥桶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晶彩格反光膜(含印字)</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EB1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788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r>
      <w:tr w14:paraId="5A15E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6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05E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交通锥(PVC)</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481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90CM橡胶路锥 8斤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EVA材质、晶彩格反光膜（含印字）、橡塑底座</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2C9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B55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w:t>
            </w:r>
          </w:p>
        </w:tc>
      </w:tr>
      <w:tr w14:paraId="5596D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F1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0F5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围挡式水马（路栏）</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A5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W920*H1800 4.5kg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吹塑工艺</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F3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9BB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r>
      <w:tr w14:paraId="1179B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C95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2A6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交通柱</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0A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H750 D80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EVA材质，晶彩格反光膜（含印字）</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BAE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602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r>
      <w:tr w14:paraId="3BD99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19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E95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机器指挥人</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0B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总高：2.1米；重量：45kg;太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阳能板：30W;电池：12V17AH;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底座尺寸：55*55*30cm</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CE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96F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63C69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13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6A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防撞桶</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DE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Φ900*H925  9.5kg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滚塑成型、晶彩格反光膜</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8F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97E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r>
      <w:tr w14:paraId="5C434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714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F53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滚塑水马</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90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L1500*H800(含连接组件L1700) 9.5kg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全新料、无碳粉添加、滚塑成型、IV类反光膜</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729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A84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w:t>
            </w:r>
          </w:p>
        </w:tc>
      </w:tr>
      <w:tr w14:paraId="46C9A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6C3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446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彩钢板围挡</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965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钢结构主立柱：60*60*1.5mm镀锌方管+0.8mm镀锌板折弯焊接烤漆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中间立柱：80*80*1.5mm镀锌方管焊接烤漆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围挡板：0.4mm镀锌彩钢板折</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834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D47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r>
      <w:tr w14:paraId="62824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902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38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塑料道钉(双面)</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24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L123*W123*H23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塑料材质，单面反光，反光片黄白可选</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09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692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r>
      <w:tr w14:paraId="304BB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314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A24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减速带</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E5E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L250*W350*H50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铸铁</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2F0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73C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14:paraId="17AC3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8C0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8C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减速带</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F8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L1000*W350*H50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橡胶材质、先硫化后成型</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426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88A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14:paraId="03E17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47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E2A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反光贴</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76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50米/卷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国际红白相间（4级）</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D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B10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74558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BC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25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反光膜</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414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1300*250mm*2，1300*80mm*2印湖北交投长江路桥</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BA3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868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2700</w:t>
            </w:r>
          </w:p>
        </w:tc>
      </w:tr>
      <w:tr w14:paraId="2D12E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CC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601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广角镜</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97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Φ1000，耐撞击PC软镜面，ABS外壳</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19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8A5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14:paraId="06CA8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F9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466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显示屏仿真警车(太阳能)</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DFE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L1900*H1470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工作时长:太阳下充电8小时可以工作 72 小时,连续放电 200H以上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可视距离: &gt;1500米</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2B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2E1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49556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35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F2C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安全警示镜</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0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H2200*W1200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材质为不锈钢钢架，2mm厚76mm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镀锌圆管，含镜子一面。</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0F8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277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6036B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7F3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71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LED提示屏(全彩)</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C8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L320*W160(单个模组)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P2室内LED全彩显示屏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6块配一个电源，1.0m不锈钢全密封箱体，金线铜支架封装灯珠，双重保护管芯，压铸铝箱体</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1C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44E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594A6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9B2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9A1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安全出口指示</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28C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L360*W150*H23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输入电压：AC220V；充电时间：&lt;24小时；光源：LED超亮半导体发光管；应急功率：6w；电池型号及类别：1.2V800mAh镍镉电池。</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3F7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644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14:paraId="7A99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3F4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84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洗车平台</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7B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宽度4m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底座方管焊接，两边设置护栏</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39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34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4B1F3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A5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E2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安全爬梯(加厚)</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25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2m层高，箱式可拆卸的重型安全梯笼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组合式5mm厚镀锌方管 承重280KN</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0EB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268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4597B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7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23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横幅</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7E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丝印标语</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24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5BE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14:paraId="3B3E5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3A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479" w:type="dxa"/>
            <w:tcBorders>
              <w:top w:val="nil"/>
              <w:left w:val="single" w:color="000000" w:sz="4" w:space="0"/>
              <w:bottom w:val="single" w:color="000000" w:sz="4" w:space="0"/>
              <w:right w:val="single" w:color="000000" w:sz="4" w:space="0"/>
            </w:tcBorders>
            <w:shd w:val="clear" w:color="auto" w:fill="auto"/>
            <w:vAlign w:val="center"/>
          </w:tcPr>
          <w:p w14:paraId="090626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路口减速牌</w:t>
            </w:r>
          </w:p>
        </w:tc>
        <w:tc>
          <w:tcPr>
            <w:tcW w:w="4350" w:type="dxa"/>
            <w:tcBorders>
              <w:top w:val="nil"/>
              <w:left w:val="single" w:color="000000" w:sz="4" w:space="0"/>
              <w:bottom w:val="single" w:color="000000" w:sz="4" w:space="0"/>
              <w:right w:val="single" w:color="000000" w:sz="4" w:space="0"/>
            </w:tcBorders>
            <w:shd w:val="clear" w:color="auto" w:fill="auto"/>
            <w:vAlign w:val="center"/>
          </w:tcPr>
          <w:p w14:paraId="16B867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圆牌Φ1200mm Φ76*3.0mm镀锌圆管+8#槽钢底座+2.0mm铝板+超强级反光膜</w:t>
            </w:r>
          </w:p>
        </w:tc>
        <w:tc>
          <w:tcPr>
            <w:tcW w:w="745" w:type="dxa"/>
            <w:tcBorders>
              <w:top w:val="nil"/>
              <w:left w:val="single" w:color="000000" w:sz="4" w:space="0"/>
              <w:bottom w:val="single" w:color="000000" w:sz="4" w:space="0"/>
              <w:right w:val="single" w:color="000000" w:sz="4" w:space="0"/>
            </w:tcBorders>
            <w:shd w:val="clear" w:color="auto" w:fill="auto"/>
            <w:vAlign w:val="center"/>
          </w:tcPr>
          <w:p w14:paraId="584A5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83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0E7E8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4E1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FA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安全警示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标志牌</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CC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L2000*W600,1mm厚铝板覆户外高清喷绘，1.2mm厚30mm*30mm镀锌方管</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46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E4E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14:paraId="17328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B7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7B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有电危险</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0C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L2000*W600,1mm厚铝板覆户外高清喷绘，1.2mm厚30mm*30mm镀锌方管</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FD3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2C6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25BD9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D9F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7C5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进入施工现场必须戴安全帽</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88D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牌面(双面)尺寸：W800*H1200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Φ76*1.5mm镀锌圆管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+20*20*1.0mm镀锌钢管骨架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+0.6mm镀锌板+工程级反光膜UV喷印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E93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439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14:paraId="524F6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A3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91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施工重地 闲人免进</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D4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L2000*W600,1mm厚铝板覆户外高清喷绘，1.2mm厚30mm*30mm镀锌方管</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87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B1D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14:paraId="6A372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FA9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074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临边警示牌</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2F1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L600*W400，框架：30*30*1.2mm镀锌管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版面：1mm厚铝板覆户外高精车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贴</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E75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ACE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14:paraId="35FD4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9D4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85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限速牌</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3E8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圆牌Φ1200mm Φ76*3.0mm镀锌圆管+8#槽钢底座+2.0mm铝板+超强级反光膜</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E44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3EA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227E3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C6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A7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八牌一图</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77A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牌面尺寸L2400*W1200(带顶棚)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立柱：中76*1.5mm不锈钢圆管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边框及背板：1. 0mm不锈钢边框+40*40*1.2mm不锈钢方管骨架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面框：1. Omm不锈钢板+耐力板面板，前开启，液压杆支撑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顶棚：40*40*1. 2mm不锈钢方管框架＋阳光板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画面：5mmPVC 板裱高精度户外</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0AD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EC7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1B591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CF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590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多柱式安全宣传标牌</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01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50*50mm镀锌角钢支架</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45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C66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76294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3C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B16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一字一牌</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C9F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W2000*H2000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1mm厚铝板覆户外高精喷绘，1.2mm厚40mm*40mm镀锌方管</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FEA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159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281C1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DE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927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标识牌(料仓 )</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210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L1500*W1000(双柱 )框架：30*30*1.2mm镀锌管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版面：1mm厚铝板覆户外高精车贴</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77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FA1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r>
      <w:tr w14:paraId="17EEB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B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3A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施工牌(导向牌)</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2BA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整体尺寸L1800*H1650，牌面尺寸L1800*H600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40*40*1.5mm镀锌方管+8#槽钢地脚+0.8mm镀锌板+超强级反光膜</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CC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33C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14:paraId="595CE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7E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43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标志提示牌</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DE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牌面(双面)尺寸W800*H1200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Φ76*1.5mm镀锌圆管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+20*20*1.0mm镀锌钢管骨架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+0.6mm镀锌板+工程级反光膜UV喷印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019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70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14:paraId="53425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5F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79A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施工牌</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47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△1300+1200*400mm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Φ76*1.5mm镀锌圆管+8#槽钢底座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+2.0mm铝板+超强级反光膜</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2A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885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r>
      <w:tr w14:paraId="6EB47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F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6FB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施工牌(车道数变少)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（改道标志）</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7DB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画面尺寸1300*900mm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Φ76*1.5mm镀锌圆管+抱箍固定+2.0mm铝板+超强级反光膜</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BF2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9E7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34A3F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A9C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AA1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安全操作规程</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01D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L400*W300高清户外车贴</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70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72D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1B5D5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07B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BF5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龙门吊安全警示标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识牌</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99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L3500*W1500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1mm厚铝板覆户外高清喷绘，1.2mm厚30mm*30mm镀锌方管</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FA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64F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EF76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A74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E0B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照明亮化（夜间照明）</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6E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防护等级不低于IP65,周围照度不低于5Ix,采取防电击措施</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4E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64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633D6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BE1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E9E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员工实名制通道</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91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L6000*W3000含4台闸机(具备人脸识别功能),门禁卡，两间岗亭，安全警示牌，企业标识。</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A4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CF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092E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2C2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DC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休息区</w:t>
            </w:r>
          </w:p>
        </w:tc>
        <w:tc>
          <w:tcPr>
            <w:tcW w:w="4350" w:type="dxa"/>
            <w:tcBorders>
              <w:top w:val="single" w:color="000000" w:sz="4" w:space="0"/>
              <w:left w:val="single" w:color="000000" w:sz="4" w:space="0"/>
              <w:bottom w:val="nil"/>
              <w:right w:val="single" w:color="000000" w:sz="4" w:space="0"/>
            </w:tcBorders>
            <w:shd w:val="clear" w:color="auto" w:fill="auto"/>
            <w:vAlign w:val="center"/>
          </w:tcPr>
          <w:p w14:paraId="5D2D82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采用钢制材料加工制作，并刷漆；内部桌椅、饮水设备、垃圾箱等可购置成品</w:t>
            </w:r>
          </w:p>
        </w:tc>
        <w:tc>
          <w:tcPr>
            <w:tcW w:w="745" w:type="dxa"/>
            <w:tcBorders>
              <w:top w:val="single" w:color="000000" w:sz="4" w:space="0"/>
              <w:left w:val="single" w:color="000000" w:sz="4" w:space="0"/>
              <w:bottom w:val="nil"/>
              <w:right w:val="single" w:color="000000" w:sz="4" w:space="0"/>
            </w:tcBorders>
            <w:shd w:val="clear" w:color="auto" w:fill="auto"/>
            <w:vAlign w:val="center"/>
          </w:tcPr>
          <w:p w14:paraId="136ADD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3D6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3F11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89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A1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管线保护标志牌</w:t>
            </w:r>
          </w:p>
        </w:tc>
        <w:tc>
          <w:tcPr>
            <w:tcW w:w="4350" w:type="dxa"/>
            <w:tcBorders>
              <w:top w:val="single" w:color="000000" w:sz="4" w:space="0"/>
              <w:left w:val="single" w:color="000000" w:sz="4" w:space="0"/>
              <w:bottom w:val="nil"/>
              <w:right w:val="single" w:color="000000" w:sz="4" w:space="0"/>
            </w:tcBorders>
            <w:shd w:val="clear" w:color="auto" w:fill="auto"/>
            <w:vAlign w:val="center"/>
          </w:tcPr>
          <w:p w14:paraId="6477EE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框架：30*30*1.2mm镀锌管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版面：2mm厚铝板覆户外高精车贴</w:t>
            </w:r>
          </w:p>
        </w:tc>
        <w:tc>
          <w:tcPr>
            <w:tcW w:w="745" w:type="dxa"/>
            <w:tcBorders>
              <w:top w:val="single" w:color="000000" w:sz="4" w:space="0"/>
              <w:left w:val="single" w:color="000000" w:sz="4" w:space="0"/>
              <w:bottom w:val="nil"/>
              <w:right w:val="single" w:color="000000" w:sz="4" w:space="0"/>
            </w:tcBorders>
            <w:shd w:val="clear" w:color="auto" w:fill="auto"/>
            <w:vAlign w:val="center"/>
          </w:tcPr>
          <w:p w14:paraId="7AF4A5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313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531C8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3E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1D8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水泥罐喷字</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81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磁漆，字面积1m*1m</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7FA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234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7545F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53D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A3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栏杆机</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966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箱体尺寸L340*W280*H1000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抬杆速度可调（0.8-2.5S），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闸杆配置防撞胶条，闸杆类型：直杆、伸缩杆、曲臂杆、栅栏杆可选</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39A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730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638FD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0C8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701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临边防护栏</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16A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H1200，立杆和横杆采用钢管制作，并涂刷防锈漆、黄黑相间的安全色</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5CD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7F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r>
    </w:tbl>
    <w:p w14:paraId="30F04DE5"/>
    <w:p w14:paraId="4057B965">
      <w:pPr>
        <w:pStyle w:val="7"/>
      </w:pPr>
    </w:p>
    <w:p w14:paraId="70D707BA">
      <w:pPr>
        <w:pStyle w:val="6"/>
      </w:pPr>
    </w:p>
    <w:p w14:paraId="7DE64164">
      <w:pPr>
        <w:pStyle w:val="7"/>
        <w:rPr>
          <w:rFonts w:hint="eastAsia"/>
          <w:lang w:eastAsia="zh-CN"/>
        </w:rPr>
      </w:pPr>
    </w:p>
    <w:p w14:paraId="4227D08E">
      <w:pPr>
        <w:rPr>
          <w:rFonts w:hint="eastAsia"/>
          <w:lang w:eastAsia="zh-CN"/>
        </w:rPr>
      </w:pPr>
    </w:p>
    <w:p w14:paraId="5F94EF5D">
      <w:pPr>
        <w:pStyle w:val="7"/>
        <w:rPr>
          <w:rFonts w:hint="eastAsia"/>
          <w:lang w:eastAsia="zh-CN"/>
        </w:rPr>
      </w:pPr>
    </w:p>
    <w:p w14:paraId="2EE147AE">
      <w:pPr>
        <w:pStyle w:val="6"/>
      </w:pPr>
    </w:p>
    <w:p w14:paraId="08FBA7AE">
      <w:pPr>
        <w:pStyle w:val="6"/>
      </w:pPr>
    </w:p>
    <w:p w14:paraId="5FE0BBD7">
      <w:pPr>
        <w:keepNext w:val="0"/>
        <w:keepLines w:val="0"/>
        <w:pageBreakBefore w:val="0"/>
        <w:kinsoku/>
        <w:overflowPunct/>
        <w:topLinePunct w:val="0"/>
        <w:autoSpaceDE/>
        <w:autoSpaceDN/>
        <w:bidi w:val="0"/>
        <w:spacing w:line="240" w:lineRule="auto"/>
        <w:ind w:firstLine="0" w:firstLineChars="0"/>
        <w:jc w:val="left"/>
        <w:rPr>
          <w:rFonts w:hint="eastAsia"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br w:type="page"/>
      </w:r>
    </w:p>
    <w:p w14:paraId="70D9309C">
      <w:pPr>
        <w:keepNext w:val="0"/>
        <w:keepLines w:val="0"/>
        <w:pageBreakBefore w:val="0"/>
        <w:kinsoku/>
        <w:overflowPunct/>
        <w:topLinePunct w:val="0"/>
        <w:autoSpaceDE/>
        <w:autoSpaceDN/>
        <w:bidi w:val="0"/>
        <w:spacing w:line="360" w:lineRule="auto"/>
        <w:ind w:firstLine="2520" w:firstLineChars="900"/>
        <w:jc w:val="left"/>
        <w:rPr>
          <w:rFonts w:hint="eastAsia"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第2包</w:t>
      </w:r>
      <w:r>
        <w:rPr>
          <w:rFonts w:hint="eastAsia" w:ascii="宋体" w:hAnsi="宋体" w:eastAsia="宋体" w:cs="宋体"/>
          <w:i w:val="0"/>
          <w:iCs w:val="0"/>
          <w:color w:val="000000"/>
          <w:kern w:val="0"/>
          <w:sz w:val="28"/>
          <w:szCs w:val="28"/>
          <w:u w:val="none"/>
          <w:lang w:val="en-US" w:eastAsia="zh-CN" w:bidi="ar"/>
        </w:rPr>
        <w:t>材料需求明细</w:t>
      </w:r>
    </w:p>
    <w:tbl>
      <w:tblPr>
        <w:tblStyle w:val="8"/>
        <w:tblW w:w="85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6"/>
        <w:gridCol w:w="2410"/>
        <w:gridCol w:w="4231"/>
        <w:gridCol w:w="724"/>
        <w:gridCol w:w="690"/>
      </w:tblGrid>
      <w:tr w14:paraId="21E45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000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4F41F">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4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645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E8FD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FC29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14:paraId="1833B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A7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3CF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消防锹</w:t>
            </w:r>
          </w:p>
        </w:tc>
        <w:tc>
          <w:tcPr>
            <w:tcW w:w="4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56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L1000 2kg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圆筒式把手，铁质铲头，木材质铲杆</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89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85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23F71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1D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4CA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手提式干粉灭火器</w:t>
            </w:r>
          </w:p>
        </w:tc>
        <w:tc>
          <w:tcPr>
            <w:tcW w:w="4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671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L130*H480   4KG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灭火剂∶磷酸二氢铵75% 硫酸铵15%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使用温度:-20°℃~+55℃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工作压力:1.2MPa(20℃)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驱动气体：氮气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瓶体材质∶碳钢</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AAB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506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6B7EB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ED9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B1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灭火器箱</w:t>
            </w:r>
          </w:p>
        </w:tc>
        <w:tc>
          <w:tcPr>
            <w:tcW w:w="4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0BC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L330*W180*H510  4KG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产品材质：碳钢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板材厚度:0.6mm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外观材质：防锈高光漆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产品特点：双翻盖，带立脚，密封好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产品功能：放置4公斤干粉灭火器2具</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835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CCD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14:paraId="28987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A7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631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编织袋</w:t>
            </w:r>
          </w:p>
        </w:tc>
        <w:tc>
          <w:tcPr>
            <w:tcW w:w="4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88A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L120*W80 抗旱防汛专用</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682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0C3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r>
      <w:tr w14:paraId="44D87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09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3F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医疗箱</w:t>
            </w:r>
          </w:p>
        </w:tc>
        <w:tc>
          <w:tcPr>
            <w:tcW w:w="4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E03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12寸</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41A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9B8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2804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E74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D72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救援绳</w:t>
            </w:r>
          </w:p>
        </w:tc>
        <w:tc>
          <w:tcPr>
            <w:tcW w:w="4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C19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钢丝芯</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CA6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A01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r>
      <w:tr w14:paraId="51EFF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C4B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51A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草垫</w:t>
            </w:r>
          </w:p>
        </w:tc>
        <w:tc>
          <w:tcPr>
            <w:tcW w:w="4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69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雪天防滑</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60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0A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00475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8B0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E4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融雪剂</w:t>
            </w:r>
          </w:p>
        </w:tc>
        <w:tc>
          <w:tcPr>
            <w:tcW w:w="4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B08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50斤装</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437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CC8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BF22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D0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AC2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防滑链</w:t>
            </w:r>
          </w:p>
        </w:tc>
        <w:tc>
          <w:tcPr>
            <w:tcW w:w="4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5A18">
            <w:pPr>
              <w:jc w:val="left"/>
              <w:rPr>
                <w:rFonts w:hint="eastAsia" w:ascii="宋体" w:hAnsi="宋体" w:eastAsia="宋体" w:cs="宋体"/>
                <w:i w:val="0"/>
                <w:iCs w:val="0"/>
                <w:color w:val="000000"/>
                <w:sz w:val="20"/>
                <w:szCs w:val="20"/>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3B7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幅</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F82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2A10B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6"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B7B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675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劳保鞋</w:t>
            </w:r>
          </w:p>
        </w:tc>
        <w:tc>
          <w:tcPr>
            <w:tcW w:w="4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F1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可定制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橡胶乳胶材质，高帮款式，高压防触电，绝缘、防滑、防水</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4A3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F3F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06584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428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A7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冬季军大衣</w:t>
            </w:r>
          </w:p>
        </w:tc>
        <w:tc>
          <w:tcPr>
            <w:tcW w:w="4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78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均码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防风面料，加厚棉里内胆</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58C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4B2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483BF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3"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F1D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AA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反光雨衣</w:t>
            </w:r>
          </w:p>
        </w:tc>
        <w:tc>
          <w:tcPr>
            <w:tcW w:w="4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E93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均码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材质：150D牛津布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防水涂层：PVC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反光条：高亮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内衬材质：网布</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0EF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9B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1E796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786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410" w:type="dxa"/>
            <w:tcBorders>
              <w:top w:val="single" w:color="000000" w:sz="4" w:space="0"/>
              <w:left w:val="single" w:color="000000" w:sz="4" w:space="0"/>
              <w:bottom w:val="nil"/>
              <w:right w:val="single" w:color="000000" w:sz="4" w:space="0"/>
            </w:tcBorders>
            <w:shd w:val="clear" w:color="auto" w:fill="auto"/>
            <w:vAlign w:val="center"/>
          </w:tcPr>
          <w:p w14:paraId="27ABE0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雨靴</w:t>
            </w:r>
          </w:p>
        </w:tc>
        <w:tc>
          <w:tcPr>
            <w:tcW w:w="4231" w:type="dxa"/>
            <w:tcBorders>
              <w:top w:val="single" w:color="000000" w:sz="4" w:space="0"/>
              <w:left w:val="single" w:color="000000" w:sz="4" w:space="0"/>
              <w:bottom w:val="nil"/>
              <w:right w:val="single" w:color="000000" w:sz="4" w:space="0"/>
            </w:tcBorders>
            <w:shd w:val="clear" w:color="auto" w:fill="auto"/>
            <w:vAlign w:val="center"/>
          </w:tcPr>
          <w:p w14:paraId="7EA421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可定制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产品面料：注塑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鞋底面料∶牛筋底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内里面料:内衬布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靴身：PVC 材质化纤易干内里</w:t>
            </w:r>
          </w:p>
        </w:tc>
        <w:tc>
          <w:tcPr>
            <w:tcW w:w="724" w:type="dxa"/>
            <w:tcBorders>
              <w:top w:val="single" w:color="000000" w:sz="4" w:space="0"/>
              <w:left w:val="single" w:color="000000" w:sz="4" w:space="0"/>
              <w:bottom w:val="nil"/>
              <w:right w:val="single" w:color="000000" w:sz="4" w:space="0"/>
            </w:tcBorders>
            <w:shd w:val="clear" w:color="auto" w:fill="auto"/>
            <w:vAlign w:val="center"/>
          </w:tcPr>
          <w:p w14:paraId="09CA6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690" w:type="dxa"/>
            <w:tcBorders>
              <w:top w:val="single" w:color="000000" w:sz="4" w:space="0"/>
              <w:left w:val="single" w:color="000000" w:sz="4" w:space="0"/>
              <w:bottom w:val="nil"/>
              <w:right w:val="single" w:color="000000" w:sz="4" w:space="0"/>
            </w:tcBorders>
            <w:shd w:val="clear" w:color="auto" w:fill="auto"/>
            <w:noWrap/>
            <w:vAlign w:val="center"/>
          </w:tcPr>
          <w:p w14:paraId="6B6782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66217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7ED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86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绝缘手套</w:t>
            </w:r>
          </w:p>
        </w:tc>
        <w:tc>
          <w:tcPr>
            <w:tcW w:w="4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761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均码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电工专用低压绝缘手套，橡胶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涂层、防滑耐磨</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84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F58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58A0F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254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40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保温鞋</w:t>
            </w:r>
          </w:p>
        </w:tc>
        <w:tc>
          <w:tcPr>
            <w:tcW w:w="4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619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可定制，耐磨耐折皮，高帮护脚，防水鞋舌</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A24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640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14:paraId="5545D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08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A5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棉手套</w:t>
            </w:r>
          </w:p>
        </w:tc>
        <w:tc>
          <w:tcPr>
            <w:tcW w:w="4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1B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均码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加密棉纱线、通用劳保手套、防隔等级：1级、耐磨等级：3级</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15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281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14:paraId="7CEA1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649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B49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安全帽（黄色）</w:t>
            </w:r>
          </w:p>
        </w:tc>
        <w:tc>
          <w:tcPr>
            <w:tcW w:w="4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B70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前面印有湖北交投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后面印有建设集团、编号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适用人群：作业人员</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42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D09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0FB0D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5D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FB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安全帽(白.红)</w:t>
            </w:r>
          </w:p>
        </w:tc>
        <w:tc>
          <w:tcPr>
            <w:tcW w:w="4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C7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前面印有湖北交投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后面印有建设集团、编号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适用人群：作业人员</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152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B00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3AF92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A65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9F1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反光背心</w:t>
            </w:r>
          </w:p>
        </w:tc>
        <w:tc>
          <w:tcPr>
            <w:tcW w:w="4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1A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均码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材质：120g 精编布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反光条：高亮</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ED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5F9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14:paraId="08073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682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9E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反光马甲（蓝）</w:t>
            </w:r>
          </w:p>
        </w:tc>
        <w:tc>
          <w:tcPr>
            <w:tcW w:w="4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51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均码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材质：120g 精编布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反光条：高亮</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513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172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1CF29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71B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9AD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反光马甲(红)</w:t>
            </w:r>
          </w:p>
        </w:tc>
        <w:tc>
          <w:tcPr>
            <w:tcW w:w="4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89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均码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材质：120g 精编布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反光条：高亮</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141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6E6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37D4A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D41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4C0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安全带</w:t>
            </w:r>
          </w:p>
        </w:tc>
        <w:tc>
          <w:tcPr>
            <w:tcW w:w="4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6F5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五点式，2000双 大钩(新国标)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丙纶（聚丙烯纤维）、尼龙、金属扣件</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661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ACC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0741B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88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D5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安全袖章</w:t>
            </w:r>
          </w:p>
        </w:tc>
        <w:tc>
          <w:tcPr>
            <w:tcW w:w="4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C6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L400*W130帆布材质</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4E6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F16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7C7F7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406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AD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对讲机</w:t>
            </w:r>
          </w:p>
        </w:tc>
        <w:tc>
          <w:tcPr>
            <w:tcW w:w="4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A6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手持式无线对讲机，两只装，工程塑料外壳，含主机、电池、天线、座充，通话保密等功能</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BDF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EEB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5FDFE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72D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C0A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护目镜</w:t>
            </w:r>
          </w:p>
        </w:tc>
        <w:tc>
          <w:tcPr>
            <w:tcW w:w="4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8C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170mm*85mm，高透光材料，聚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碳酸酯材料，具备防刮擦、防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冲击、防风沙、防尘、防飞溅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9E1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DB0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61AA7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8F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F7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焊接用眼防护具</w:t>
            </w:r>
          </w:p>
        </w:tc>
        <w:tc>
          <w:tcPr>
            <w:tcW w:w="4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0D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防护等级DIN16,灰尘挡流板面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罩PP材质，头箍可调节</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35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296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494AA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68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017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黄色频闪灯</w:t>
            </w:r>
          </w:p>
        </w:tc>
        <w:tc>
          <w:tcPr>
            <w:tcW w:w="4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CCF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L460*W130*H420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LED灯珠Φ400mm：150 颗（黄闪)70颗(慢字）可视距离&gt;1200米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控制器光控，可控制全天闪烁，晚上闪烁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工作时间太阳下充电8小时可以工作72小时,连续放电200H</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FB0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EB2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1BE3E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EBA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642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警示爆闪灯</w:t>
            </w:r>
          </w:p>
        </w:tc>
        <w:tc>
          <w:tcPr>
            <w:tcW w:w="4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179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L470*W170*H90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材质ABS，6V/4.5A免维护锂电池，9V/5w多晶硅太阳能板，单灯板20颗高亮红/蓝灯珠，带光控模式，可设置白天是否亮灯</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3B4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A24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64E63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450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766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手持式灯具（可充式）</w:t>
            </w:r>
          </w:p>
        </w:tc>
        <w:tc>
          <w:tcPr>
            <w:tcW w:w="4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9A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充电强光款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高亮远射、多档调光、合金铝材外壳、防水防尘</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78B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375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74DC9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C54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410" w:type="dxa"/>
            <w:tcBorders>
              <w:top w:val="nil"/>
              <w:left w:val="single" w:color="000000" w:sz="4" w:space="0"/>
              <w:bottom w:val="single" w:color="000000" w:sz="4" w:space="0"/>
              <w:right w:val="single" w:color="000000" w:sz="4" w:space="0"/>
            </w:tcBorders>
            <w:shd w:val="clear" w:color="auto" w:fill="auto"/>
            <w:vAlign w:val="center"/>
          </w:tcPr>
          <w:p w14:paraId="7AD780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移动发电机</w:t>
            </w:r>
          </w:p>
        </w:tc>
        <w:tc>
          <w:tcPr>
            <w:tcW w:w="4231" w:type="dxa"/>
            <w:tcBorders>
              <w:top w:val="nil"/>
              <w:left w:val="single" w:color="000000" w:sz="4" w:space="0"/>
              <w:bottom w:val="single" w:color="000000" w:sz="4" w:space="0"/>
              <w:right w:val="single" w:color="000000" w:sz="4" w:space="0"/>
            </w:tcBorders>
            <w:shd w:val="clear" w:color="auto" w:fill="auto"/>
            <w:vAlign w:val="center"/>
          </w:tcPr>
          <w:p w14:paraId="31868F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6.5KW手启动汽油版</w:t>
            </w:r>
          </w:p>
        </w:tc>
        <w:tc>
          <w:tcPr>
            <w:tcW w:w="724" w:type="dxa"/>
            <w:tcBorders>
              <w:top w:val="nil"/>
              <w:left w:val="single" w:color="000000" w:sz="4" w:space="0"/>
              <w:bottom w:val="single" w:color="000000" w:sz="4" w:space="0"/>
              <w:right w:val="single" w:color="000000" w:sz="4" w:space="0"/>
            </w:tcBorders>
            <w:shd w:val="clear" w:color="auto" w:fill="auto"/>
            <w:vAlign w:val="center"/>
          </w:tcPr>
          <w:p w14:paraId="51D674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90" w:type="dxa"/>
            <w:tcBorders>
              <w:top w:val="nil"/>
              <w:left w:val="single" w:color="000000" w:sz="4" w:space="0"/>
              <w:bottom w:val="single" w:color="000000" w:sz="4" w:space="0"/>
              <w:right w:val="single" w:color="000000" w:sz="4" w:space="0"/>
            </w:tcBorders>
            <w:shd w:val="clear" w:color="auto" w:fill="auto"/>
            <w:noWrap/>
            <w:vAlign w:val="center"/>
          </w:tcPr>
          <w:p w14:paraId="68F2F5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98BB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87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31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指挥棒</w:t>
            </w:r>
          </w:p>
        </w:tc>
        <w:tc>
          <w:tcPr>
            <w:tcW w:w="4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48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L400，Φ37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高透光性聚碳酸酯、PC，超高亮防雾LED，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可订做LED灯珠颜色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电子哨音：&gt;120DB</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EED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AF3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17CFF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F6E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9B2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锥桶套</w:t>
            </w:r>
          </w:p>
        </w:tc>
        <w:tc>
          <w:tcPr>
            <w:tcW w:w="4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4EF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H900，印湖北交投长江路桥</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792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05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14:paraId="32F1D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3E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3D8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交通锥(PVC)</w:t>
            </w:r>
          </w:p>
        </w:tc>
        <w:tc>
          <w:tcPr>
            <w:tcW w:w="4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FCD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90CM橡胶路锥 9斤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PVC材质、晶彩格反光膜（含印字）、橡塑底座</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98D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020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14:paraId="6FC10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444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2EC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围挡式水马</w:t>
            </w:r>
          </w:p>
        </w:tc>
        <w:tc>
          <w:tcPr>
            <w:tcW w:w="4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B3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W920*H1800 4.5kg</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CF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FCF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r>
      <w:tr w14:paraId="23DDF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9A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9A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彩钢板围挡</w:t>
            </w:r>
          </w:p>
        </w:tc>
        <w:tc>
          <w:tcPr>
            <w:tcW w:w="4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B3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L6350*H2500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钢结构主立柱：60*60*1.5mm镀锌方管+0.8mm镀锌板折弯焊接烤漆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中间立柱：80*80*1.5mm镀锌方管焊接烤漆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围挡板：0.4mm镀锌彩钢板折</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09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B3F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14:paraId="2412E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B9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1F7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反光贴</w:t>
            </w:r>
          </w:p>
        </w:tc>
        <w:tc>
          <w:tcPr>
            <w:tcW w:w="4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6B6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50米/卷，国际红白相间（4级）</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5A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B57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5DF28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E8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806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反光膜</w:t>
            </w:r>
          </w:p>
        </w:tc>
        <w:tc>
          <w:tcPr>
            <w:tcW w:w="4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00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1300*250mm*2，1300*80mm*2印湖北交投长江路桥</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98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53D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r>
      <w:tr w14:paraId="7CB9C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5D7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61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横幅</w:t>
            </w:r>
          </w:p>
        </w:tc>
        <w:tc>
          <w:tcPr>
            <w:tcW w:w="4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9EA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丝印标语</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7B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45E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r>
      <w:tr w14:paraId="73B2A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AB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410" w:type="dxa"/>
            <w:tcBorders>
              <w:top w:val="nil"/>
              <w:left w:val="single" w:color="000000" w:sz="4" w:space="0"/>
              <w:bottom w:val="single" w:color="000000" w:sz="4" w:space="0"/>
              <w:right w:val="single" w:color="000000" w:sz="4" w:space="0"/>
            </w:tcBorders>
            <w:shd w:val="clear" w:color="auto" w:fill="auto"/>
            <w:vAlign w:val="center"/>
          </w:tcPr>
          <w:p w14:paraId="420C69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路口减速牌</w:t>
            </w:r>
          </w:p>
        </w:tc>
        <w:tc>
          <w:tcPr>
            <w:tcW w:w="4231" w:type="dxa"/>
            <w:tcBorders>
              <w:top w:val="nil"/>
              <w:left w:val="single" w:color="000000" w:sz="4" w:space="0"/>
              <w:bottom w:val="single" w:color="000000" w:sz="4" w:space="0"/>
              <w:right w:val="single" w:color="000000" w:sz="4" w:space="0"/>
            </w:tcBorders>
            <w:shd w:val="clear" w:color="auto" w:fill="auto"/>
            <w:vAlign w:val="center"/>
          </w:tcPr>
          <w:p w14:paraId="656710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圆牌Φ1200mm Φ76*3.0mm镀锌圆管+8#槽钢底座+2.0mm铝板+超强级反光膜</w:t>
            </w:r>
          </w:p>
        </w:tc>
        <w:tc>
          <w:tcPr>
            <w:tcW w:w="724" w:type="dxa"/>
            <w:tcBorders>
              <w:top w:val="nil"/>
              <w:left w:val="single" w:color="000000" w:sz="4" w:space="0"/>
              <w:bottom w:val="single" w:color="000000" w:sz="4" w:space="0"/>
              <w:right w:val="single" w:color="000000" w:sz="4" w:space="0"/>
            </w:tcBorders>
            <w:shd w:val="clear" w:color="auto" w:fill="auto"/>
            <w:vAlign w:val="center"/>
          </w:tcPr>
          <w:p w14:paraId="783090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690" w:type="dxa"/>
            <w:tcBorders>
              <w:top w:val="nil"/>
              <w:left w:val="single" w:color="000000" w:sz="4" w:space="0"/>
              <w:bottom w:val="single" w:color="000000" w:sz="4" w:space="0"/>
              <w:right w:val="single" w:color="000000" w:sz="4" w:space="0"/>
            </w:tcBorders>
            <w:shd w:val="clear" w:color="auto" w:fill="auto"/>
            <w:noWrap/>
            <w:vAlign w:val="center"/>
          </w:tcPr>
          <w:p w14:paraId="6D6DB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3368A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B2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855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安全警示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标志牌</w:t>
            </w:r>
          </w:p>
        </w:tc>
        <w:tc>
          <w:tcPr>
            <w:tcW w:w="4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80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L2000*W600,1mm厚铝板覆户外高清喷绘，1.2mm厚30mm*30mm镀锌方管</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49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C6C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1ECF7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9A6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50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临边警示牌</w:t>
            </w:r>
          </w:p>
        </w:tc>
        <w:tc>
          <w:tcPr>
            <w:tcW w:w="4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F1D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L600*W400，框架：30*30*1.2mm镀锌管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版面：1mm厚铝板覆户外高精车贴</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0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F3C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131B2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90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FD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限速牌</w:t>
            </w:r>
          </w:p>
        </w:tc>
        <w:tc>
          <w:tcPr>
            <w:tcW w:w="4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53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圆牌Φ1200mm Φ76*3.0mm镀锌圆管+8#槽钢底座+2.0mm铝板+超强级反光膜</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C7C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BF2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3050C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31E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4F5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一字一牌</w:t>
            </w:r>
          </w:p>
        </w:tc>
        <w:tc>
          <w:tcPr>
            <w:tcW w:w="4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648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L2000*H2000，1mm厚铝板覆户外高精喷绘，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1.2mm厚40mm*40mm镀锌方管</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7F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7E4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53C5A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5E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ACF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施工牌(导向牌)</w:t>
            </w:r>
          </w:p>
        </w:tc>
        <w:tc>
          <w:tcPr>
            <w:tcW w:w="4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B77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整体尺寸L1800*H1650,牌面尺寸L1800*H600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40*40*1.5mm镀锌方管+8#槽钢地脚+0.8mm镀锌板+超强级反光膜</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AB4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39F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0FDB2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9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695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标志提示牌</w:t>
            </w:r>
          </w:p>
        </w:tc>
        <w:tc>
          <w:tcPr>
            <w:tcW w:w="4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6C5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牌面(双面)尺寸W800*H1200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Φ76*1.5mm镀锌圆管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+20*20*1.0mm镀锌钢管骨架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+0.6mm镀锌板+工程级反光膜UV喷印</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2B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2F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662FE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A80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39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施工牌</w:t>
            </w:r>
          </w:p>
        </w:tc>
        <w:tc>
          <w:tcPr>
            <w:tcW w:w="4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A7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△1300+1200*400mm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Φ76*1.5mm镀锌圆管+8#槽钢底座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+2.0mm铝板+超强级反光膜</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5B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56C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bl>
    <w:p w14:paraId="2E0E5E85">
      <w:pPr>
        <w:rPr>
          <w:rFonts w:hint="eastAsia"/>
          <w:lang w:val="en-US" w:eastAsia="zh-CN"/>
        </w:rPr>
        <w:sectPr>
          <w:pgSz w:w="11906" w:h="16838"/>
          <w:pgMar w:top="1587" w:right="1474" w:bottom="1474" w:left="1587" w:header="851" w:footer="992" w:gutter="0"/>
          <w:pgNumType w:fmt="numberInDash"/>
          <w:cols w:space="720" w:num="1"/>
          <w:docGrid w:type="lines" w:linePitch="312" w:charSpace="0"/>
        </w:sectPr>
      </w:pPr>
    </w:p>
    <w:p w14:paraId="684EFF44">
      <w:pPr>
        <w:keepNext w:val="0"/>
        <w:keepLines w:val="0"/>
        <w:pageBreakBefore w:val="0"/>
        <w:kinsoku/>
        <w:overflowPunct/>
        <w:topLinePunct w:val="0"/>
        <w:autoSpaceDE/>
        <w:autoSpaceDN/>
        <w:bidi w:val="0"/>
        <w:spacing w:line="360" w:lineRule="auto"/>
        <w:jc w:val="left"/>
        <w:rPr>
          <w:rFonts w:hint="default" w:ascii="Times New Roman" w:hAnsi="Times New Roman" w:eastAsia="宋体" w:cs="Times New Roman"/>
          <w:color w:val="auto"/>
          <w:sz w:val="32"/>
          <w:szCs w:val="32"/>
          <w:lang w:val="en-US" w:eastAsia="zh-CN"/>
        </w:rPr>
      </w:pPr>
      <w:r>
        <w:rPr>
          <w:rFonts w:hint="default" w:ascii="Times New Roman" w:hAnsi="Times New Roman" w:cs="Times New Roman"/>
          <w:color w:val="auto"/>
          <w:sz w:val="32"/>
          <w:szCs w:val="32"/>
        </w:rPr>
        <w:t>附件</w:t>
      </w:r>
      <w:r>
        <w:rPr>
          <w:rFonts w:hint="eastAsia" w:cs="Times New Roman"/>
          <w:color w:val="auto"/>
          <w:sz w:val="32"/>
          <w:szCs w:val="32"/>
          <w:lang w:val="en-US" w:eastAsia="zh-CN"/>
        </w:rPr>
        <w:t>2</w:t>
      </w:r>
    </w:p>
    <w:p w14:paraId="64808409">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t>附录1 资格审查条件（资质最低要求）</w:t>
      </w:r>
    </w:p>
    <w:p w14:paraId="2CD7A1D8">
      <w:pPr>
        <w:keepNext w:val="0"/>
        <w:keepLines w:val="0"/>
        <w:pageBreakBefore w:val="0"/>
        <w:kinsoku/>
        <w:overflowPunct/>
        <w:topLinePunct w:val="0"/>
        <w:autoSpaceDE/>
        <w:autoSpaceDN/>
        <w:bidi w:val="0"/>
        <w:snapToGrid w:val="0"/>
        <w:spacing w:line="360" w:lineRule="auto"/>
        <w:rPr>
          <w:rFonts w:hint="default" w:ascii="Times New Roman" w:hAnsi="Times New Roman" w:cs="Times New Roman"/>
          <w:color w:val="auto"/>
        </w:rPr>
      </w:pP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7177"/>
      </w:tblGrid>
      <w:tr w14:paraId="3771E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789" w:type="pct"/>
            <w:noWrap w:val="0"/>
            <w:vAlign w:val="center"/>
          </w:tcPr>
          <w:p w14:paraId="3A58E101">
            <w:pPr>
              <w:keepNext w:val="0"/>
              <w:keepLines w:val="0"/>
              <w:pageBreakBefore w:val="0"/>
              <w:kinsoku/>
              <w:overflowPunct/>
              <w:topLinePunct w:val="0"/>
              <w:autoSpaceDE/>
              <w:autoSpaceDN/>
              <w:bidi w:val="0"/>
              <w:snapToGrid w:val="0"/>
              <w:spacing w:line="240" w:lineRule="auto"/>
              <w:jc w:val="center"/>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合同包</w:t>
            </w:r>
          </w:p>
        </w:tc>
        <w:tc>
          <w:tcPr>
            <w:tcW w:w="4210" w:type="pct"/>
            <w:noWrap w:val="0"/>
            <w:vAlign w:val="center"/>
          </w:tcPr>
          <w:p w14:paraId="53900CFD">
            <w:pPr>
              <w:keepNext w:val="0"/>
              <w:keepLines w:val="0"/>
              <w:pageBreakBefore w:val="0"/>
              <w:kinsoku/>
              <w:overflowPunct/>
              <w:topLinePunct w:val="0"/>
              <w:autoSpaceDE/>
              <w:autoSpaceDN/>
              <w:bidi w:val="0"/>
              <w:snapToGrid w:val="0"/>
              <w:spacing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资质要求</w:t>
            </w:r>
          </w:p>
        </w:tc>
      </w:tr>
      <w:tr w14:paraId="315E3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6" w:hRule="atLeast"/>
          <w:jc w:val="center"/>
        </w:trPr>
        <w:tc>
          <w:tcPr>
            <w:tcW w:w="789" w:type="pct"/>
            <w:noWrap w:val="0"/>
            <w:vAlign w:val="center"/>
          </w:tcPr>
          <w:p w14:paraId="40B1D27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lang w:val="en-US" w:eastAsia="zh-CN"/>
              </w:rPr>
            </w:pPr>
            <w:r>
              <w:rPr>
                <w:rFonts w:hint="default" w:cs="Times New Roman"/>
                <w:color w:val="auto"/>
                <w:sz w:val="24"/>
                <w:szCs w:val="24"/>
                <w:lang w:val="en-US" w:eastAsia="zh-CN"/>
              </w:rPr>
              <w:t>第1</w:t>
            </w:r>
            <w:r>
              <w:rPr>
                <w:rFonts w:hint="eastAsia" w:ascii="宋体" w:hAnsi="宋体" w:eastAsia="宋体" w:cs="宋体"/>
                <w:color w:val="auto"/>
                <w:sz w:val="24"/>
                <w:szCs w:val="24"/>
                <w:lang w:val="en-US" w:eastAsia="zh-CN"/>
              </w:rPr>
              <w:t>、</w:t>
            </w:r>
            <w:r>
              <w:rPr>
                <w:rFonts w:hint="eastAsia" w:cs="Times New Roman"/>
                <w:color w:val="auto"/>
                <w:sz w:val="24"/>
                <w:szCs w:val="24"/>
                <w:lang w:val="en-US" w:eastAsia="zh-CN"/>
              </w:rPr>
              <w:t>2</w:t>
            </w:r>
            <w:r>
              <w:rPr>
                <w:rFonts w:hint="default" w:cs="Times New Roman"/>
                <w:color w:val="auto"/>
                <w:sz w:val="24"/>
                <w:szCs w:val="24"/>
                <w:lang w:val="en-US" w:eastAsia="zh-CN"/>
              </w:rPr>
              <w:t>合同包</w:t>
            </w:r>
          </w:p>
        </w:tc>
        <w:tc>
          <w:tcPr>
            <w:tcW w:w="4210" w:type="pct"/>
            <w:noWrap w:val="0"/>
            <w:vAlign w:val="center"/>
          </w:tcPr>
          <w:p w14:paraId="1C29BDA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rPr>
            </w:pPr>
            <w:r>
              <w:rPr>
                <w:rFonts w:hint="eastAsia" w:ascii="Times New Roman" w:hAnsi="Times New Roman" w:eastAsia="宋体" w:cs="Times New Roman"/>
                <w:lang w:eastAsia="zh-CN"/>
              </w:rPr>
              <w:t>供应商</w:t>
            </w:r>
            <w:r>
              <w:rPr>
                <w:rFonts w:hint="default" w:ascii="Times New Roman" w:hAnsi="Times New Roman" w:eastAsia="宋体" w:cs="Times New Roman"/>
                <w:lang w:val="en-US" w:eastAsia="zh-CN"/>
              </w:rPr>
              <w:t>可</w:t>
            </w:r>
            <w:r>
              <w:rPr>
                <w:rFonts w:hint="default" w:ascii="Times New Roman" w:hAnsi="Times New Roman" w:eastAsia="宋体" w:cs="Times New Roman"/>
              </w:rPr>
              <w:t>为生产厂家或经销商</w:t>
            </w:r>
            <w:r>
              <w:rPr>
                <w:rFonts w:hint="eastAsia"/>
                <w:lang w:val="en-US" w:eastAsia="zh-CN"/>
              </w:rPr>
              <w:t>，</w:t>
            </w:r>
            <w:r>
              <w:rPr>
                <w:rFonts w:hint="default"/>
              </w:rPr>
              <w:t>须同时具备：</w:t>
            </w:r>
          </w:p>
          <w:p w14:paraId="6EF8482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lang w:val="en-US" w:eastAsia="zh-CN"/>
              </w:rPr>
            </w:pPr>
            <w:r>
              <w:rPr>
                <w:rFonts w:hint="default"/>
              </w:rPr>
              <w:t>具备</w:t>
            </w:r>
            <w:r>
              <w:rPr>
                <w:rFonts w:hint="default"/>
                <w:lang w:val="en-US" w:eastAsia="zh-CN"/>
              </w:rPr>
              <w:t>独立的法人资格，具有</w:t>
            </w:r>
            <w:r>
              <w:rPr>
                <w:rFonts w:hint="default"/>
              </w:rPr>
              <w:t>有效的营业执照</w:t>
            </w:r>
            <w:r>
              <w:rPr>
                <w:rFonts w:hint="default"/>
                <w:lang w:val="en-US" w:eastAsia="zh-CN"/>
              </w:rPr>
              <w:t>。</w:t>
            </w:r>
          </w:p>
        </w:tc>
      </w:tr>
    </w:tbl>
    <w:p w14:paraId="78640855">
      <w:pPr>
        <w:keepNext w:val="0"/>
        <w:keepLines w:val="0"/>
        <w:pageBreakBefore w:val="0"/>
        <w:kinsoku/>
        <w:overflowPunct/>
        <w:topLinePunct w:val="0"/>
        <w:autoSpaceDE/>
        <w:autoSpaceDN/>
        <w:bidi w:val="0"/>
        <w:snapToGrid w:val="0"/>
        <w:spacing w:line="440" w:lineRule="exact"/>
        <w:ind w:firstLine="420" w:firstLineChars="200"/>
        <w:outlineLvl w:val="9"/>
        <w:rPr>
          <w:rFonts w:hint="default" w:ascii="Times New Roman" w:hAnsi="Times New Roman" w:eastAsia="黑体" w:cs="Times New Roman"/>
          <w:color w:val="auto"/>
          <w:sz w:val="21"/>
          <w:szCs w:val="24"/>
        </w:rPr>
      </w:pPr>
      <w:r>
        <w:rPr>
          <w:rFonts w:hint="default" w:ascii="Times New Roman" w:hAnsi="Times New Roman" w:eastAsia="黑体" w:cs="Times New Roman"/>
          <w:color w:val="auto"/>
          <w:sz w:val="21"/>
          <w:szCs w:val="24"/>
        </w:rPr>
        <w:t>注：1、供应商应提供营业执照及资格要求的其他证明材料扫描件。</w:t>
      </w:r>
    </w:p>
    <w:p w14:paraId="76F42BB3">
      <w:pPr>
        <w:keepNext w:val="0"/>
        <w:keepLines w:val="0"/>
        <w:pageBreakBefore w:val="0"/>
        <w:kinsoku/>
        <w:overflowPunct/>
        <w:topLinePunct w:val="0"/>
        <w:autoSpaceDE/>
        <w:autoSpaceDN/>
        <w:bidi w:val="0"/>
        <w:snapToGrid w:val="0"/>
        <w:spacing w:line="440" w:lineRule="exact"/>
        <w:ind w:firstLine="420" w:firstLineChars="200"/>
        <w:outlineLvl w:val="9"/>
        <w:rPr>
          <w:rFonts w:hint="default" w:ascii="Times New Roman" w:hAnsi="Times New Roman" w:eastAsia="黑体" w:cs="Times New Roman"/>
          <w:color w:val="auto"/>
          <w:sz w:val="21"/>
          <w:szCs w:val="24"/>
        </w:rPr>
      </w:pPr>
      <w:r>
        <w:rPr>
          <w:rFonts w:hint="default" w:ascii="Times New Roman" w:hAnsi="Times New Roman" w:eastAsia="黑体" w:cs="Times New Roman"/>
          <w:color w:val="auto"/>
          <w:sz w:val="21"/>
          <w:szCs w:val="24"/>
        </w:rPr>
        <w:t>2、对于法人发生重组或变更的供应商，应提供法人重组或变更时相关部门的合法批件、变更时的营业执照、相关证书的变更记录扫描件。</w:t>
      </w:r>
    </w:p>
    <w:p w14:paraId="49658307">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b/>
          <w:bCs/>
          <w:color w:val="auto"/>
          <w:sz w:val="40"/>
          <w:szCs w:val="40"/>
        </w:rPr>
      </w:pPr>
      <w:r>
        <w:rPr>
          <w:rFonts w:hint="default" w:ascii="Times New Roman" w:hAnsi="Times New Roman" w:cs="Times New Roman"/>
          <w:color w:val="auto"/>
          <w:sz w:val="28"/>
          <w:szCs w:val="28"/>
        </w:rPr>
        <w:br w:type="page"/>
      </w:r>
      <w:r>
        <w:rPr>
          <w:rFonts w:hint="default" w:ascii="Times New Roman" w:hAnsi="Times New Roman" w:cs="Times New Roman"/>
          <w:b/>
          <w:bCs/>
          <w:color w:val="auto"/>
          <w:sz w:val="32"/>
          <w:szCs w:val="32"/>
        </w:rPr>
        <w:t>附录</w:t>
      </w:r>
      <w:r>
        <w:rPr>
          <w:rFonts w:hint="eastAsia" w:cs="Times New Roman"/>
          <w:b/>
          <w:bCs/>
          <w:color w:val="auto"/>
          <w:sz w:val="32"/>
          <w:szCs w:val="32"/>
          <w:lang w:val="en-US" w:eastAsia="zh-CN"/>
        </w:rPr>
        <w:t>2</w:t>
      </w:r>
      <w:r>
        <w:rPr>
          <w:rFonts w:hint="default" w:ascii="Times New Roman" w:hAnsi="Times New Roman" w:cs="Times New Roman"/>
          <w:b/>
          <w:bCs/>
          <w:color w:val="auto"/>
          <w:sz w:val="32"/>
          <w:szCs w:val="32"/>
        </w:rPr>
        <w:t xml:space="preserve"> 资格审查条件（财务最低要求）</w:t>
      </w:r>
    </w:p>
    <w:p w14:paraId="08A398B1">
      <w:pPr>
        <w:pStyle w:val="7"/>
        <w:keepNext w:val="0"/>
        <w:keepLines w:val="0"/>
        <w:pageBreakBefore w:val="0"/>
        <w:kinsoku/>
        <w:overflowPunct/>
        <w:topLinePunct w:val="0"/>
        <w:autoSpaceDE/>
        <w:autoSpaceDN/>
        <w:bidi w:val="0"/>
        <w:spacing w:after="0" w:line="360" w:lineRule="auto"/>
        <w:ind w:left="480" w:firstLine="480"/>
        <w:rPr>
          <w:rFonts w:hint="default" w:ascii="Times New Roman" w:hAnsi="Times New Roman" w:cs="Times New Roman"/>
          <w:color w:val="auto"/>
        </w:rPr>
      </w:pP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7247"/>
      </w:tblGrid>
      <w:tr w14:paraId="4CA3D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337" w:type="dxa"/>
            <w:noWrap w:val="0"/>
            <w:vAlign w:val="center"/>
          </w:tcPr>
          <w:p w14:paraId="4EB60C3B">
            <w:pPr>
              <w:keepNext w:val="0"/>
              <w:keepLines w:val="0"/>
              <w:pageBreakBefore w:val="0"/>
              <w:kinsoku/>
              <w:overflowPunct/>
              <w:topLinePunct w:val="0"/>
              <w:autoSpaceDE/>
              <w:autoSpaceDN/>
              <w:bidi w:val="0"/>
              <w:snapToGrid w:val="0"/>
              <w:spacing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32"/>
                <w:lang w:val="en-US" w:eastAsia="zh-CN"/>
              </w:rPr>
              <w:t>合同包</w:t>
            </w:r>
          </w:p>
        </w:tc>
        <w:tc>
          <w:tcPr>
            <w:tcW w:w="7724" w:type="dxa"/>
            <w:noWrap w:val="0"/>
            <w:vAlign w:val="center"/>
          </w:tcPr>
          <w:p w14:paraId="58FBC767">
            <w:pPr>
              <w:keepNext w:val="0"/>
              <w:keepLines w:val="0"/>
              <w:pageBreakBefore w:val="0"/>
              <w:kinsoku/>
              <w:overflowPunct/>
              <w:topLinePunct w:val="0"/>
              <w:autoSpaceDE/>
              <w:autoSpaceDN/>
              <w:bidi w:val="0"/>
              <w:snapToGrid w:val="0"/>
              <w:spacing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财务要求</w:t>
            </w:r>
          </w:p>
        </w:tc>
      </w:tr>
      <w:tr w14:paraId="3C89E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9" w:hRule="atLeast"/>
          <w:jc w:val="center"/>
        </w:trPr>
        <w:tc>
          <w:tcPr>
            <w:tcW w:w="1337" w:type="dxa"/>
            <w:noWrap w:val="0"/>
            <w:vAlign w:val="center"/>
          </w:tcPr>
          <w:p w14:paraId="77D4AD07">
            <w:pPr>
              <w:keepNext w:val="0"/>
              <w:keepLines w:val="0"/>
              <w:pageBreakBefore w:val="0"/>
              <w:kinsoku/>
              <w:overflowPunct/>
              <w:topLinePunct w:val="0"/>
              <w:autoSpaceDE/>
              <w:autoSpaceDN/>
              <w:bidi w:val="0"/>
              <w:spacing w:line="360" w:lineRule="auto"/>
              <w:jc w:val="center"/>
              <w:rPr>
                <w:rFonts w:hint="eastAsia" w:ascii="宋体" w:hAnsi="宋体" w:cs="宋体"/>
                <w:color w:val="auto"/>
              </w:rPr>
            </w:pPr>
            <w:r>
              <w:rPr>
                <w:rFonts w:hint="eastAsia" w:ascii="宋体" w:hAnsi="宋体" w:cs="宋体"/>
                <w:color w:val="auto"/>
                <w:sz w:val="24"/>
                <w:szCs w:val="24"/>
                <w:lang w:val="en-US" w:eastAsia="zh-CN"/>
              </w:rPr>
              <w:t>第1合同包</w:t>
            </w:r>
          </w:p>
        </w:tc>
        <w:tc>
          <w:tcPr>
            <w:tcW w:w="7724" w:type="dxa"/>
            <w:noWrap w:val="0"/>
            <w:vAlign w:val="center"/>
          </w:tcPr>
          <w:p w14:paraId="7C283726">
            <w:pPr>
              <w:keepNext w:val="0"/>
              <w:keepLines w:val="0"/>
              <w:widowControl/>
              <w:suppressLineNumbers w:val="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方式一：</w:t>
            </w:r>
          </w:p>
          <w:p w14:paraId="6C9711CC">
            <w:pPr>
              <w:keepNext w:val="0"/>
              <w:keepLines w:val="0"/>
              <w:widowControl/>
              <w:suppressLineNumbers w:val="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近三年每年的营业收入不少于</w:t>
            </w:r>
            <w:r>
              <w:rPr>
                <w:rFonts w:hint="eastAsia" w:ascii="宋体" w:hAnsi="宋体" w:cs="宋体"/>
                <w:kern w:val="2"/>
                <w:sz w:val="24"/>
                <w:szCs w:val="24"/>
                <w:highlight w:val="none"/>
                <w:lang w:val="en-US" w:eastAsia="zh-CN" w:bidi="ar-SA"/>
              </w:rPr>
              <w:t>3</w:t>
            </w:r>
            <w:r>
              <w:rPr>
                <w:rFonts w:hint="eastAsia" w:ascii="宋体" w:hAnsi="宋体" w:eastAsia="宋体" w:cs="宋体"/>
                <w:kern w:val="2"/>
                <w:sz w:val="24"/>
                <w:szCs w:val="24"/>
                <w:highlight w:val="none"/>
                <w:lang w:val="en-US" w:eastAsia="zh-CN" w:bidi="ar-SA"/>
              </w:rPr>
              <w:t>00万元，近三年平均净资产不少于</w:t>
            </w:r>
            <w:r>
              <w:rPr>
                <w:rFonts w:hint="eastAsia" w:ascii="宋体" w:hAnsi="宋体" w:cs="宋体"/>
                <w:kern w:val="2"/>
                <w:sz w:val="24"/>
                <w:szCs w:val="24"/>
                <w:highlight w:val="none"/>
                <w:lang w:val="en-US" w:eastAsia="zh-CN" w:bidi="ar-SA"/>
              </w:rPr>
              <w:t>6</w:t>
            </w:r>
            <w:r>
              <w:rPr>
                <w:rFonts w:hint="eastAsia" w:ascii="宋体" w:hAnsi="宋体" w:eastAsia="宋体" w:cs="宋体"/>
                <w:kern w:val="2"/>
                <w:sz w:val="24"/>
                <w:szCs w:val="24"/>
                <w:highlight w:val="none"/>
                <w:lang w:val="en-US" w:eastAsia="zh-CN" w:bidi="ar-SA"/>
              </w:rPr>
              <w:t>0万元。</w:t>
            </w:r>
          </w:p>
          <w:p w14:paraId="5F9020C4">
            <w:pPr>
              <w:keepNext w:val="0"/>
              <w:keepLines w:val="0"/>
              <w:widowControl/>
              <w:suppressLineNumbers w:val="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方式二：</w:t>
            </w:r>
          </w:p>
          <w:p w14:paraId="1237FD4B">
            <w:pPr>
              <w:keepNext w:val="0"/>
              <w:keepLines w:val="0"/>
              <w:widowControl/>
              <w:suppressLineNumbers w:val="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由银行出具（须有银行盖章）申请日前3个月内（202</w:t>
            </w:r>
            <w:r>
              <w:rPr>
                <w:rFonts w:hint="eastAsia" w:ascii="宋体" w:hAnsi="宋体" w:cs="宋体"/>
                <w:kern w:val="2"/>
                <w:sz w:val="24"/>
                <w:szCs w:val="24"/>
                <w:highlight w:val="none"/>
                <w:lang w:val="en-US" w:eastAsia="zh-CN" w:bidi="ar-SA"/>
              </w:rPr>
              <w:t>5</w:t>
            </w:r>
            <w:r>
              <w:rPr>
                <w:rFonts w:hint="eastAsia" w:ascii="宋体" w:hAnsi="宋体" w:eastAsia="宋体" w:cs="宋体"/>
                <w:kern w:val="2"/>
                <w:sz w:val="24"/>
                <w:szCs w:val="24"/>
                <w:highlight w:val="none"/>
                <w:lang w:val="en-US" w:eastAsia="zh-CN" w:bidi="ar-SA"/>
              </w:rPr>
              <w:t xml:space="preserve"> 年</w:t>
            </w:r>
            <w:r>
              <w:rPr>
                <w:rFonts w:hint="eastAsia" w:ascii="宋体" w:hAnsi="宋体" w:cs="宋体"/>
                <w:kern w:val="2"/>
                <w:sz w:val="24"/>
                <w:szCs w:val="24"/>
                <w:highlight w:val="none"/>
                <w:lang w:val="en-US" w:eastAsia="zh-CN" w:bidi="ar-SA"/>
              </w:rPr>
              <w:t>3</w:t>
            </w:r>
            <w:r>
              <w:rPr>
                <w:rFonts w:hint="eastAsia" w:ascii="宋体" w:hAnsi="宋体" w:eastAsia="宋体" w:cs="宋体"/>
                <w:kern w:val="2"/>
                <w:sz w:val="24"/>
                <w:szCs w:val="24"/>
                <w:highlight w:val="none"/>
                <w:lang w:val="en-US" w:eastAsia="zh-CN" w:bidi="ar-SA"/>
              </w:rPr>
              <w:t>月、 202</w:t>
            </w:r>
            <w:r>
              <w:rPr>
                <w:rFonts w:hint="eastAsia" w:ascii="宋体" w:hAnsi="宋体" w:cs="宋体"/>
                <w:kern w:val="2"/>
                <w:sz w:val="24"/>
                <w:szCs w:val="24"/>
                <w:highlight w:val="none"/>
                <w:lang w:val="en-US" w:eastAsia="zh-CN" w:bidi="ar-SA"/>
              </w:rPr>
              <w:t>5</w:t>
            </w:r>
            <w:r>
              <w:rPr>
                <w:rFonts w:hint="eastAsia" w:ascii="宋体" w:hAnsi="宋体" w:eastAsia="宋体" w:cs="宋体"/>
                <w:kern w:val="2"/>
                <w:sz w:val="24"/>
                <w:szCs w:val="24"/>
                <w:highlight w:val="none"/>
                <w:lang w:val="en-US" w:eastAsia="zh-CN" w:bidi="ar-SA"/>
              </w:rPr>
              <w:t xml:space="preserve">年 </w:t>
            </w:r>
            <w:r>
              <w:rPr>
                <w:rFonts w:hint="eastAsia" w:ascii="宋体" w:hAnsi="宋体" w:cs="宋体"/>
                <w:kern w:val="2"/>
                <w:sz w:val="24"/>
                <w:szCs w:val="24"/>
                <w:highlight w:val="none"/>
                <w:lang w:val="en-US" w:eastAsia="zh-CN" w:bidi="ar-SA"/>
              </w:rPr>
              <w:t>4</w:t>
            </w:r>
            <w:r>
              <w:rPr>
                <w:rFonts w:hint="eastAsia" w:ascii="宋体" w:hAnsi="宋体" w:eastAsia="宋体" w:cs="宋体"/>
                <w:kern w:val="2"/>
                <w:sz w:val="24"/>
                <w:szCs w:val="24"/>
                <w:highlight w:val="none"/>
                <w:lang w:val="en-US" w:eastAsia="zh-CN" w:bidi="ar-SA"/>
              </w:rPr>
              <w:t>月、 202</w:t>
            </w:r>
            <w:r>
              <w:rPr>
                <w:rFonts w:hint="eastAsia" w:ascii="宋体" w:hAnsi="宋体" w:cs="宋体"/>
                <w:kern w:val="2"/>
                <w:sz w:val="24"/>
                <w:szCs w:val="24"/>
                <w:highlight w:val="none"/>
                <w:lang w:val="en-US" w:eastAsia="zh-CN" w:bidi="ar-SA"/>
              </w:rPr>
              <w:t>5</w:t>
            </w:r>
            <w:r>
              <w:rPr>
                <w:rFonts w:hint="eastAsia" w:ascii="宋体" w:hAnsi="宋体" w:eastAsia="宋体" w:cs="宋体"/>
                <w:kern w:val="2"/>
                <w:sz w:val="24"/>
                <w:szCs w:val="24"/>
                <w:highlight w:val="none"/>
                <w:lang w:val="en-US" w:eastAsia="zh-CN" w:bidi="ar-SA"/>
              </w:rPr>
              <w:t xml:space="preserve"> 年</w:t>
            </w:r>
            <w:r>
              <w:rPr>
                <w:rFonts w:hint="eastAsia" w:ascii="宋体" w:hAnsi="宋体" w:cs="宋体"/>
                <w:kern w:val="2"/>
                <w:sz w:val="24"/>
                <w:szCs w:val="24"/>
                <w:highlight w:val="none"/>
                <w:lang w:val="en-US" w:eastAsia="zh-CN" w:bidi="ar-SA"/>
              </w:rPr>
              <w:t>5</w:t>
            </w:r>
            <w:r>
              <w:rPr>
                <w:rFonts w:hint="eastAsia" w:ascii="宋体" w:hAnsi="宋体" w:eastAsia="宋体" w:cs="宋体"/>
                <w:kern w:val="2"/>
                <w:sz w:val="24"/>
                <w:szCs w:val="24"/>
                <w:highlight w:val="none"/>
                <w:lang w:val="en-US" w:eastAsia="zh-CN" w:bidi="ar-SA"/>
              </w:rPr>
              <w:t>月）的单位账户流水证明，</w:t>
            </w:r>
            <w:r>
              <w:rPr>
                <w:rFonts w:hint="eastAsia" w:ascii="宋体" w:hAnsi="宋体" w:cs="宋体"/>
                <w:kern w:val="2"/>
                <w:sz w:val="24"/>
                <w:szCs w:val="24"/>
                <w:highlight w:val="none"/>
                <w:lang w:val="en-US" w:eastAsia="zh-CN" w:bidi="ar-SA"/>
              </w:rPr>
              <w:t>3个月</w:t>
            </w:r>
            <w:r>
              <w:rPr>
                <w:rFonts w:hint="eastAsia" w:ascii="宋体" w:hAnsi="宋体" w:eastAsia="宋体" w:cs="宋体"/>
                <w:kern w:val="2"/>
                <w:sz w:val="24"/>
                <w:szCs w:val="24"/>
                <w:highlight w:val="none"/>
                <w:lang w:val="en-US" w:eastAsia="zh-CN" w:bidi="ar-SA"/>
              </w:rPr>
              <w:t>月末账户余额平均值不少于20万元</w:t>
            </w:r>
          </w:p>
          <w:p w14:paraId="0E95CABB">
            <w:pPr>
              <w:keepNext w:val="0"/>
              <w:keepLines w:val="0"/>
              <w:pageBreakBefore w:val="0"/>
              <w:widowControl/>
              <w:kinsoku/>
              <w:overflowPunct/>
              <w:topLinePunct w:val="0"/>
              <w:autoSpaceDE/>
              <w:autoSpaceDN/>
              <w:bidi w:val="0"/>
              <w:spacing w:line="360" w:lineRule="auto"/>
              <w:rPr>
                <w:rFonts w:hint="eastAsia" w:ascii="宋体" w:hAnsi="宋体" w:cs="宋体"/>
                <w:color w:val="auto"/>
                <w:szCs w:val="28"/>
              </w:rPr>
            </w:pPr>
            <w:r>
              <w:rPr>
                <w:rFonts w:hint="eastAsia" w:ascii="宋体" w:hAnsi="宋体" w:eastAsia="宋体" w:cs="宋体"/>
                <w:kern w:val="2"/>
                <w:sz w:val="24"/>
                <w:szCs w:val="24"/>
                <w:highlight w:val="none"/>
                <w:lang w:val="en-US" w:eastAsia="zh-CN" w:bidi="ar-SA"/>
              </w:rPr>
              <w:t>上述两种方式满足其中一种即可。</w:t>
            </w:r>
          </w:p>
        </w:tc>
      </w:tr>
      <w:tr w14:paraId="7143C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9" w:hRule="atLeast"/>
          <w:jc w:val="center"/>
        </w:trPr>
        <w:tc>
          <w:tcPr>
            <w:tcW w:w="1337" w:type="dxa"/>
            <w:noWrap w:val="0"/>
            <w:vAlign w:val="center"/>
          </w:tcPr>
          <w:p w14:paraId="7309EF45">
            <w:pPr>
              <w:keepNext w:val="0"/>
              <w:keepLines w:val="0"/>
              <w:pageBreakBefore w:val="0"/>
              <w:kinsoku/>
              <w:overflowPunct/>
              <w:topLinePunct w:val="0"/>
              <w:autoSpaceDE/>
              <w:autoSpaceDN/>
              <w:bidi w:val="0"/>
              <w:spacing w:line="360" w:lineRule="auto"/>
              <w:jc w:val="center"/>
              <w:rPr>
                <w:rFonts w:hint="eastAsia" w:ascii="宋体" w:hAnsi="宋体" w:cs="宋体"/>
                <w:color w:val="auto"/>
                <w:sz w:val="24"/>
                <w:szCs w:val="24"/>
                <w:lang w:val="en-US" w:eastAsia="zh-CN"/>
              </w:rPr>
            </w:pPr>
          </w:p>
          <w:p w14:paraId="38BACA92">
            <w:pPr>
              <w:pStyle w:val="7"/>
              <w:ind w:left="0" w:leftChars="0" w:firstLine="0" w:firstLine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第2合同包</w:t>
            </w:r>
          </w:p>
          <w:p w14:paraId="6781E935">
            <w:pPr>
              <w:pStyle w:val="6"/>
              <w:ind w:left="0" w:firstLine="0" w:firstLineChars="0"/>
              <w:rPr>
                <w:rFonts w:hint="eastAsia" w:hAnsi="宋体" w:cs="宋体"/>
                <w:color w:val="auto"/>
                <w:sz w:val="24"/>
                <w:szCs w:val="24"/>
                <w:lang w:val="en-US" w:eastAsia="zh-CN"/>
              </w:rPr>
            </w:pPr>
          </w:p>
          <w:p w14:paraId="7BE72725">
            <w:pPr>
              <w:pStyle w:val="6"/>
              <w:rPr>
                <w:rFonts w:hint="eastAsia" w:hAnsi="宋体" w:cs="宋体"/>
                <w:color w:val="auto"/>
                <w:sz w:val="24"/>
                <w:szCs w:val="24"/>
                <w:lang w:val="en-US" w:eastAsia="zh-CN"/>
              </w:rPr>
            </w:pPr>
          </w:p>
        </w:tc>
        <w:tc>
          <w:tcPr>
            <w:tcW w:w="7724" w:type="dxa"/>
            <w:noWrap w:val="0"/>
            <w:vAlign w:val="center"/>
          </w:tcPr>
          <w:p w14:paraId="33BBD0D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方式一：</w:t>
            </w:r>
          </w:p>
          <w:p w14:paraId="724B878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近三年每年的营业收入不少于</w:t>
            </w:r>
            <w:r>
              <w:rPr>
                <w:rFonts w:hint="eastAsia" w:ascii="宋体" w:hAnsi="宋体" w:cs="宋体"/>
                <w:i w:val="0"/>
                <w:iCs w:val="0"/>
                <w:color w:val="auto"/>
                <w:sz w:val="24"/>
                <w:szCs w:val="24"/>
                <w:highlight w:val="none"/>
                <w:u w:val="none"/>
                <w:lang w:val="en-US" w:eastAsia="zh-CN"/>
              </w:rPr>
              <w:t>100</w:t>
            </w:r>
            <w:r>
              <w:rPr>
                <w:rFonts w:hint="eastAsia" w:ascii="宋体" w:hAnsi="宋体" w:eastAsia="宋体" w:cs="宋体"/>
                <w:i w:val="0"/>
                <w:iCs w:val="0"/>
                <w:color w:val="auto"/>
                <w:sz w:val="24"/>
                <w:szCs w:val="24"/>
                <w:highlight w:val="none"/>
                <w:u w:val="none"/>
              </w:rPr>
              <w:t>万元，近三年平均净资产不少于</w:t>
            </w:r>
            <w:r>
              <w:rPr>
                <w:rFonts w:hint="eastAsia" w:ascii="宋体" w:hAnsi="宋体" w:cs="宋体"/>
                <w:i w:val="0"/>
                <w:iCs w:val="0"/>
                <w:color w:val="auto"/>
                <w:sz w:val="24"/>
                <w:szCs w:val="24"/>
                <w:highlight w:val="none"/>
                <w:u w:val="none"/>
                <w:lang w:val="en-US" w:eastAsia="zh-CN"/>
              </w:rPr>
              <w:t>20</w:t>
            </w:r>
            <w:r>
              <w:rPr>
                <w:rFonts w:hint="eastAsia" w:ascii="宋体" w:hAnsi="宋体" w:eastAsia="宋体" w:cs="宋体"/>
                <w:i w:val="0"/>
                <w:iCs w:val="0"/>
                <w:color w:val="auto"/>
                <w:sz w:val="24"/>
                <w:szCs w:val="24"/>
                <w:highlight w:val="none"/>
                <w:u w:val="none"/>
              </w:rPr>
              <w:t>万元。</w:t>
            </w:r>
          </w:p>
          <w:p w14:paraId="52E26F5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方式二：</w:t>
            </w:r>
          </w:p>
          <w:p w14:paraId="45C2A7FA">
            <w:pPr>
              <w:keepNext w:val="0"/>
              <w:keepLines w:val="0"/>
              <w:widowControl/>
              <w:suppressLineNumbers w:val="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由银行出具（须有银行盖章）申请日前3个月内（202</w:t>
            </w:r>
            <w:r>
              <w:rPr>
                <w:rFonts w:hint="eastAsia" w:ascii="宋体" w:hAnsi="宋体" w:cs="宋体"/>
                <w:kern w:val="2"/>
                <w:sz w:val="24"/>
                <w:szCs w:val="24"/>
                <w:highlight w:val="none"/>
                <w:lang w:val="en-US" w:eastAsia="zh-CN" w:bidi="ar-SA"/>
              </w:rPr>
              <w:t>5</w:t>
            </w:r>
            <w:r>
              <w:rPr>
                <w:rFonts w:hint="eastAsia" w:ascii="宋体" w:hAnsi="宋体" w:eastAsia="宋体" w:cs="宋体"/>
                <w:kern w:val="2"/>
                <w:sz w:val="24"/>
                <w:szCs w:val="24"/>
                <w:highlight w:val="none"/>
                <w:lang w:val="en-US" w:eastAsia="zh-CN" w:bidi="ar-SA"/>
              </w:rPr>
              <w:t xml:space="preserve"> 年</w:t>
            </w:r>
            <w:r>
              <w:rPr>
                <w:rFonts w:hint="eastAsia" w:ascii="宋体" w:hAnsi="宋体" w:cs="宋体"/>
                <w:kern w:val="2"/>
                <w:sz w:val="24"/>
                <w:szCs w:val="24"/>
                <w:highlight w:val="none"/>
                <w:lang w:val="en-US" w:eastAsia="zh-CN" w:bidi="ar-SA"/>
              </w:rPr>
              <w:t>3</w:t>
            </w:r>
            <w:r>
              <w:rPr>
                <w:rFonts w:hint="eastAsia" w:ascii="宋体" w:hAnsi="宋体" w:eastAsia="宋体" w:cs="宋体"/>
                <w:kern w:val="2"/>
                <w:sz w:val="24"/>
                <w:szCs w:val="24"/>
                <w:highlight w:val="none"/>
                <w:lang w:val="en-US" w:eastAsia="zh-CN" w:bidi="ar-SA"/>
              </w:rPr>
              <w:t>月、 202</w:t>
            </w:r>
            <w:r>
              <w:rPr>
                <w:rFonts w:hint="eastAsia" w:ascii="宋体" w:hAnsi="宋体" w:cs="宋体"/>
                <w:kern w:val="2"/>
                <w:sz w:val="24"/>
                <w:szCs w:val="24"/>
                <w:highlight w:val="none"/>
                <w:lang w:val="en-US" w:eastAsia="zh-CN" w:bidi="ar-SA"/>
              </w:rPr>
              <w:t>5</w:t>
            </w:r>
            <w:r>
              <w:rPr>
                <w:rFonts w:hint="eastAsia" w:ascii="宋体" w:hAnsi="宋体" w:eastAsia="宋体" w:cs="宋体"/>
                <w:kern w:val="2"/>
                <w:sz w:val="24"/>
                <w:szCs w:val="24"/>
                <w:highlight w:val="none"/>
                <w:lang w:val="en-US" w:eastAsia="zh-CN" w:bidi="ar-SA"/>
              </w:rPr>
              <w:t xml:space="preserve">年 </w:t>
            </w:r>
            <w:r>
              <w:rPr>
                <w:rFonts w:hint="eastAsia" w:ascii="宋体" w:hAnsi="宋体" w:cs="宋体"/>
                <w:kern w:val="2"/>
                <w:sz w:val="24"/>
                <w:szCs w:val="24"/>
                <w:highlight w:val="none"/>
                <w:lang w:val="en-US" w:eastAsia="zh-CN" w:bidi="ar-SA"/>
              </w:rPr>
              <w:t>4</w:t>
            </w:r>
            <w:r>
              <w:rPr>
                <w:rFonts w:hint="eastAsia" w:ascii="宋体" w:hAnsi="宋体" w:eastAsia="宋体" w:cs="宋体"/>
                <w:kern w:val="2"/>
                <w:sz w:val="24"/>
                <w:szCs w:val="24"/>
                <w:highlight w:val="none"/>
                <w:lang w:val="en-US" w:eastAsia="zh-CN" w:bidi="ar-SA"/>
              </w:rPr>
              <w:t>月、 202</w:t>
            </w:r>
            <w:r>
              <w:rPr>
                <w:rFonts w:hint="eastAsia" w:ascii="宋体" w:hAnsi="宋体" w:cs="宋体"/>
                <w:kern w:val="2"/>
                <w:sz w:val="24"/>
                <w:szCs w:val="24"/>
                <w:highlight w:val="none"/>
                <w:lang w:val="en-US" w:eastAsia="zh-CN" w:bidi="ar-SA"/>
              </w:rPr>
              <w:t>5</w:t>
            </w:r>
            <w:r>
              <w:rPr>
                <w:rFonts w:hint="eastAsia" w:ascii="宋体" w:hAnsi="宋体" w:eastAsia="宋体" w:cs="宋体"/>
                <w:kern w:val="2"/>
                <w:sz w:val="24"/>
                <w:szCs w:val="24"/>
                <w:highlight w:val="none"/>
                <w:lang w:val="en-US" w:eastAsia="zh-CN" w:bidi="ar-SA"/>
              </w:rPr>
              <w:t xml:space="preserve"> 年</w:t>
            </w:r>
            <w:r>
              <w:rPr>
                <w:rFonts w:hint="eastAsia" w:ascii="宋体" w:hAnsi="宋体" w:cs="宋体"/>
                <w:kern w:val="2"/>
                <w:sz w:val="24"/>
                <w:szCs w:val="24"/>
                <w:highlight w:val="none"/>
                <w:lang w:val="en-US" w:eastAsia="zh-CN" w:bidi="ar-SA"/>
              </w:rPr>
              <w:t>5</w:t>
            </w:r>
            <w:r>
              <w:rPr>
                <w:rFonts w:hint="eastAsia" w:ascii="宋体" w:hAnsi="宋体" w:eastAsia="宋体" w:cs="宋体"/>
                <w:kern w:val="2"/>
                <w:sz w:val="24"/>
                <w:szCs w:val="24"/>
                <w:highlight w:val="none"/>
                <w:lang w:val="en-US" w:eastAsia="zh-CN" w:bidi="ar-SA"/>
              </w:rPr>
              <w:t>月）的单位账户流水证明，</w:t>
            </w:r>
            <w:r>
              <w:rPr>
                <w:rFonts w:hint="eastAsia" w:ascii="宋体" w:hAnsi="宋体" w:cs="宋体"/>
                <w:kern w:val="2"/>
                <w:sz w:val="24"/>
                <w:szCs w:val="24"/>
                <w:highlight w:val="none"/>
                <w:lang w:val="en-US" w:eastAsia="zh-CN" w:bidi="ar-SA"/>
              </w:rPr>
              <w:t>3个月</w:t>
            </w:r>
            <w:r>
              <w:rPr>
                <w:rFonts w:hint="eastAsia" w:ascii="宋体" w:hAnsi="宋体" w:eastAsia="宋体" w:cs="宋体"/>
                <w:kern w:val="2"/>
                <w:sz w:val="24"/>
                <w:szCs w:val="24"/>
                <w:highlight w:val="none"/>
                <w:lang w:val="en-US" w:eastAsia="zh-CN" w:bidi="ar-SA"/>
              </w:rPr>
              <w:t>月末账户余额平均值不少于</w:t>
            </w:r>
            <w:r>
              <w:rPr>
                <w:rFonts w:hint="eastAsia" w:ascii="宋体" w:hAnsi="宋体" w:cs="宋体"/>
                <w:kern w:val="2"/>
                <w:sz w:val="24"/>
                <w:szCs w:val="24"/>
                <w:highlight w:val="none"/>
                <w:lang w:val="en-US" w:eastAsia="zh-CN" w:bidi="ar-SA"/>
              </w:rPr>
              <w:t>2</w:t>
            </w:r>
            <w:r>
              <w:rPr>
                <w:rFonts w:hint="eastAsia" w:ascii="宋体" w:hAnsi="宋体" w:eastAsia="宋体" w:cs="宋体"/>
                <w:kern w:val="2"/>
                <w:sz w:val="24"/>
                <w:szCs w:val="24"/>
                <w:highlight w:val="none"/>
                <w:lang w:val="en-US" w:eastAsia="zh-CN" w:bidi="ar-SA"/>
              </w:rPr>
              <w:t>万元</w:t>
            </w:r>
          </w:p>
          <w:p w14:paraId="223D39DF">
            <w:pPr>
              <w:keepNext w:val="0"/>
              <w:keepLines w:val="0"/>
              <w:pageBreakBefore w:val="0"/>
              <w:widowControl/>
              <w:kinsoku/>
              <w:overflowPunct/>
              <w:topLinePunct w:val="0"/>
              <w:autoSpaceDE/>
              <w:autoSpaceDN/>
              <w:bidi w:val="0"/>
              <w:spacing w:line="240" w:lineRule="auto"/>
              <w:jc w:val="left"/>
              <w:textAlignment w:val="center"/>
              <w:rPr>
                <w:rFonts w:hint="eastAsia" w:ascii="宋体" w:hAnsi="宋体" w:eastAsia="宋体" w:cs="宋体"/>
                <w:i w:val="0"/>
                <w:color w:val="auto"/>
                <w:kern w:val="0"/>
                <w:sz w:val="24"/>
                <w:szCs w:val="22"/>
                <w:highlight w:val="none"/>
                <w:u w:val="none"/>
                <w:lang w:val="en-US" w:eastAsia="zh-CN" w:bidi="ar"/>
              </w:rPr>
            </w:pPr>
            <w:r>
              <w:rPr>
                <w:rFonts w:hint="eastAsia" w:ascii="宋体" w:hAnsi="宋体" w:eastAsia="宋体" w:cs="宋体"/>
                <w:i w:val="0"/>
                <w:iCs w:val="0"/>
                <w:color w:val="auto"/>
                <w:sz w:val="24"/>
                <w:szCs w:val="24"/>
                <w:highlight w:val="none"/>
                <w:u w:val="none"/>
              </w:rPr>
              <w:t>上述两种方式满足其中一种即可。</w:t>
            </w:r>
          </w:p>
        </w:tc>
      </w:tr>
    </w:tbl>
    <w:p w14:paraId="0A9012A5">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outlineLvl w:val="9"/>
        <w:rPr>
          <w:rFonts w:hint="default" w:ascii="Times New Roman" w:hAnsi="Times New Roman" w:eastAsia="黑体" w:cs="Times New Roman"/>
          <w:sz w:val="21"/>
        </w:rPr>
      </w:pPr>
      <w:r>
        <w:rPr>
          <w:rFonts w:hint="default" w:ascii="Times New Roman" w:hAnsi="Times New Roman" w:eastAsia="黑体" w:cs="Times New Roman"/>
          <w:color w:val="auto"/>
          <w:sz w:val="21"/>
        </w:rPr>
        <w:t>注：1.采用方式</w:t>
      </w:r>
      <w:r>
        <w:rPr>
          <w:rFonts w:hint="default" w:eastAsia="黑体" w:cs="Times New Roman"/>
          <w:color w:val="auto"/>
          <w:sz w:val="21"/>
          <w:lang w:val="en-US" w:eastAsia="zh-CN"/>
        </w:rPr>
        <w:t>一</w:t>
      </w:r>
      <w:r>
        <w:rPr>
          <w:rFonts w:hint="default" w:ascii="Times New Roman" w:hAnsi="Times New Roman" w:eastAsia="黑体" w:cs="Times New Roman"/>
          <w:color w:val="auto"/>
          <w:sz w:val="21"/>
        </w:rPr>
        <w:t>应附</w:t>
      </w:r>
      <w:r>
        <w:rPr>
          <w:rFonts w:hint="default" w:ascii="Times New Roman" w:hAnsi="Times New Roman" w:eastAsia="黑体" w:cs="Times New Roman"/>
          <w:sz w:val="21"/>
          <w:szCs w:val="24"/>
        </w:rPr>
        <w:t>经会计师事务所或审计机构审计的</w:t>
      </w:r>
      <w:r>
        <w:rPr>
          <w:rFonts w:hint="default" w:ascii="Times New Roman" w:hAnsi="Times New Roman" w:eastAsia="黑体" w:cs="Times New Roman"/>
          <w:color w:val="auto"/>
          <w:sz w:val="21"/>
        </w:rPr>
        <w:t>财务会计报表，</w:t>
      </w:r>
      <w:r>
        <w:rPr>
          <w:rFonts w:hint="default" w:eastAsia="黑体" w:cs="Times New Roman"/>
          <w:color w:val="auto"/>
          <w:sz w:val="21"/>
          <w:lang w:eastAsia="zh-CN"/>
        </w:rPr>
        <w:t>其所附资料只需证明其能满足财务最低要求即可。</w:t>
      </w:r>
      <w:r>
        <w:rPr>
          <w:rFonts w:hint="default" w:ascii="Times New Roman" w:hAnsi="Times New Roman" w:eastAsia="黑体" w:cs="Times New Roman"/>
          <w:color w:val="auto"/>
          <w:sz w:val="21"/>
        </w:rPr>
        <w:t>公司成立时间不足三年的提供成立以来的</w:t>
      </w:r>
      <w:r>
        <w:rPr>
          <w:rFonts w:hint="default" w:ascii="Times New Roman" w:hAnsi="Times New Roman" w:eastAsia="黑体" w:cs="Times New Roman"/>
          <w:sz w:val="21"/>
          <w:szCs w:val="24"/>
        </w:rPr>
        <w:t>经会计师事务所或审计机构审计的财务会计报表</w:t>
      </w:r>
      <w:r>
        <w:rPr>
          <w:rFonts w:hint="default" w:ascii="Times New Roman" w:hAnsi="Times New Roman" w:eastAsia="黑体" w:cs="Times New Roman"/>
          <w:color w:val="auto"/>
          <w:sz w:val="21"/>
        </w:rPr>
        <w:t>。</w:t>
      </w:r>
      <w:r>
        <w:rPr>
          <w:rFonts w:hint="default" w:ascii="Times New Roman" w:hAnsi="Times New Roman" w:eastAsia="黑体" w:cs="Times New Roman"/>
          <w:sz w:val="21"/>
        </w:rPr>
        <w:t>若</w:t>
      </w:r>
      <w:r>
        <w:rPr>
          <w:rFonts w:hint="default" w:ascii="Times New Roman" w:hAnsi="Times New Roman" w:eastAsia="黑体" w:cs="Times New Roman"/>
          <w:sz w:val="21"/>
          <w:lang w:val="en-US" w:eastAsia="zh-CN"/>
        </w:rPr>
        <w:t>最近年</w:t>
      </w:r>
      <w:r>
        <w:rPr>
          <w:rFonts w:hint="default" w:ascii="Times New Roman" w:hAnsi="Times New Roman" w:eastAsia="黑体" w:cs="Times New Roman"/>
          <w:sz w:val="21"/>
        </w:rPr>
        <w:t>度会计报表未出，则近三年时间往前推算一年。</w:t>
      </w:r>
    </w:p>
    <w:p w14:paraId="6429F96C">
      <w:pPr>
        <w:pStyle w:val="10"/>
        <w:keepNext w:val="0"/>
        <w:keepLines w:val="0"/>
        <w:pageBreakBefore w:val="0"/>
        <w:widowControl w:val="0"/>
        <w:kinsoku/>
        <w:wordWrap/>
        <w:overflowPunct/>
        <w:topLinePunct w:val="0"/>
        <w:autoSpaceDE/>
        <w:autoSpaceDN/>
        <w:bidi w:val="0"/>
        <w:adjustRightInd/>
        <w:spacing w:line="440" w:lineRule="exact"/>
        <w:ind w:firstLine="840" w:firstLineChars="400"/>
        <w:textAlignment w:val="auto"/>
        <w:rPr>
          <w:rFonts w:hint="default" w:ascii="Times New Roman" w:hAnsi="Times New Roman" w:eastAsia="黑体" w:cs="Times New Roman"/>
          <w:color w:val="auto"/>
          <w:sz w:val="21"/>
        </w:rPr>
      </w:pPr>
      <w:r>
        <w:rPr>
          <w:rFonts w:hint="default" w:ascii="Times New Roman" w:hAnsi="Times New Roman" w:eastAsia="黑体" w:cs="Times New Roman"/>
          <w:color w:val="auto"/>
          <w:sz w:val="21"/>
        </w:rPr>
        <w:t>2.采用方式</w:t>
      </w:r>
      <w:r>
        <w:rPr>
          <w:rFonts w:hint="default" w:eastAsia="黑体" w:cs="Times New Roman"/>
          <w:color w:val="auto"/>
          <w:sz w:val="21"/>
          <w:lang w:val="en-US" w:eastAsia="zh-CN"/>
        </w:rPr>
        <w:t>二</w:t>
      </w:r>
      <w:r>
        <w:rPr>
          <w:rFonts w:hint="default" w:ascii="Times New Roman" w:hAnsi="Times New Roman" w:eastAsia="黑体" w:cs="Times New Roman"/>
          <w:color w:val="auto"/>
          <w:sz w:val="21"/>
        </w:rPr>
        <w:t>应附银行出具</w:t>
      </w:r>
      <w:r>
        <w:rPr>
          <w:rFonts w:hint="default" w:ascii="Times New Roman" w:hAnsi="Times New Roman" w:eastAsia="黑体" w:cs="Times New Roman"/>
          <w:color w:val="auto"/>
          <w:sz w:val="21"/>
          <w:lang w:eastAsia="zh-CN"/>
        </w:rPr>
        <w:t>（须银行盖章）</w:t>
      </w:r>
      <w:r>
        <w:rPr>
          <w:rFonts w:hint="default" w:ascii="Times New Roman" w:hAnsi="Times New Roman" w:eastAsia="黑体" w:cs="Times New Roman"/>
          <w:color w:val="auto"/>
          <w:sz w:val="21"/>
        </w:rPr>
        <w:t>申请日前3个月内的单位账户流水证明。</w:t>
      </w:r>
    </w:p>
    <w:p w14:paraId="30C79DB0">
      <w:pPr>
        <w:keepNext w:val="0"/>
        <w:keepLines w:val="0"/>
        <w:pageBreakBefore w:val="0"/>
        <w:kinsoku/>
        <w:overflowPunct/>
        <w:topLinePunct w:val="0"/>
        <w:autoSpaceDE/>
        <w:autoSpaceDN/>
        <w:bidi w:val="0"/>
        <w:snapToGrid w:val="0"/>
        <w:spacing w:line="360" w:lineRule="auto"/>
        <w:ind w:firstLine="960" w:firstLineChars="400"/>
        <w:rPr>
          <w:rFonts w:hint="default" w:ascii="Times New Roman" w:hAnsi="Times New Roman" w:eastAsia="黑体" w:cs="Times New Roman"/>
          <w:color w:val="auto"/>
        </w:rPr>
      </w:pPr>
    </w:p>
    <w:p w14:paraId="4BE7AF4C">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color w:val="auto"/>
          <w:sz w:val="40"/>
          <w:szCs w:val="40"/>
        </w:rPr>
      </w:pPr>
      <w:r>
        <w:rPr>
          <w:rFonts w:hint="default" w:ascii="Times New Roman" w:hAnsi="Times New Roman" w:cs="Times New Roman"/>
          <w:color w:val="auto"/>
          <w:sz w:val="28"/>
          <w:szCs w:val="28"/>
        </w:rPr>
        <w:br w:type="page"/>
      </w:r>
      <w:r>
        <w:rPr>
          <w:rFonts w:hint="default" w:ascii="Times New Roman" w:hAnsi="Times New Roman" w:cs="Times New Roman"/>
          <w:b/>
          <w:bCs/>
          <w:color w:val="auto"/>
          <w:sz w:val="32"/>
          <w:szCs w:val="32"/>
        </w:rPr>
        <w:t>附录</w:t>
      </w:r>
      <w:r>
        <w:rPr>
          <w:rFonts w:hint="eastAsia" w:cs="Times New Roman"/>
          <w:b/>
          <w:bCs/>
          <w:color w:val="auto"/>
          <w:sz w:val="32"/>
          <w:szCs w:val="32"/>
          <w:lang w:val="en-US" w:eastAsia="zh-CN"/>
        </w:rPr>
        <w:t>3</w:t>
      </w:r>
      <w:r>
        <w:rPr>
          <w:rFonts w:hint="default" w:ascii="Times New Roman" w:hAnsi="Times New Roman" w:cs="Times New Roman"/>
          <w:b/>
          <w:bCs/>
          <w:color w:val="auto"/>
          <w:sz w:val="32"/>
          <w:szCs w:val="32"/>
        </w:rPr>
        <w:t xml:space="preserve"> 资格审查条件（业绩最低要求）</w:t>
      </w:r>
    </w:p>
    <w:p w14:paraId="3B2C3278">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eastAsia="黑体" w:cs="Times New Roman"/>
          <w:color w:val="auto"/>
        </w:rPr>
      </w:pP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3"/>
        <w:gridCol w:w="7199"/>
      </w:tblGrid>
      <w:tr w14:paraId="2D7BC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378" w:type="dxa"/>
            <w:noWrap w:val="0"/>
            <w:vAlign w:val="center"/>
          </w:tcPr>
          <w:p w14:paraId="3398D3AC">
            <w:pPr>
              <w:keepNext w:val="0"/>
              <w:keepLines w:val="0"/>
              <w:pageBreakBefore w:val="0"/>
              <w:kinsoku/>
              <w:overflowPunct/>
              <w:topLinePunct w:val="0"/>
              <w:autoSpaceDE/>
              <w:autoSpaceDN/>
              <w:bidi w:val="0"/>
              <w:snapToGrid w:val="0"/>
              <w:spacing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32"/>
                <w:lang w:val="en-US" w:eastAsia="zh-CN"/>
              </w:rPr>
              <w:t>合同包</w:t>
            </w:r>
          </w:p>
        </w:tc>
        <w:tc>
          <w:tcPr>
            <w:tcW w:w="7683" w:type="dxa"/>
            <w:noWrap w:val="0"/>
            <w:vAlign w:val="center"/>
          </w:tcPr>
          <w:p w14:paraId="26AEE1D9">
            <w:pPr>
              <w:keepNext w:val="0"/>
              <w:keepLines w:val="0"/>
              <w:pageBreakBefore w:val="0"/>
              <w:kinsoku/>
              <w:overflowPunct/>
              <w:topLinePunct w:val="0"/>
              <w:autoSpaceDE/>
              <w:autoSpaceDN/>
              <w:bidi w:val="0"/>
              <w:snapToGrid w:val="0"/>
              <w:spacing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业绩要求</w:t>
            </w:r>
          </w:p>
        </w:tc>
      </w:tr>
      <w:tr w14:paraId="18ADF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jc w:val="center"/>
        </w:trPr>
        <w:tc>
          <w:tcPr>
            <w:tcW w:w="1378" w:type="dxa"/>
            <w:noWrap w:val="0"/>
            <w:vAlign w:val="center"/>
          </w:tcPr>
          <w:p w14:paraId="4777FF68">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color w:val="auto"/>
              </w:rPr>
            </w:pPr>
            <w:r>
              <w:rPr>
                <w:rFonts w:hint="eastAsia" w:ascii="宋体" w:hAnsi="宋体" w:eastAsia="宋体" w:cs="宋体"/>
                <w:sz w:val="24"/>
                <w:szCs w:val="24"/>
                <w:highlight w:val="none"/>
              </w:rPr>
              <w:t>第1</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合同包</w:t>
            </w:r>
          </w:p>
        </w:tc>
        <w:tc>
          <w:tcPr>
            <w:tcW w:w="7683" w:type="dxa"/>
            <w:noWrap w:val="0"/>
            <w:vAlign w:val="center"/>
          </w:tcPr>
          <w:p w14:paraId="5B531569">
            <w:pPr>
              <w:keepNext w:val="0"/>
              <w:keepLines w:val="0"/>
              <w:pageBreakBefore w:val="0"/>
              <w:kinsoku/>
              <w:overflowPunct/>
              <w:topLinePunct w:val="0"/>
              <w:autoSpaceDE/>
              <w:autoSpaceDN/>
              <w:bidi w:val="0"/>
              <w:spacing w:line="360" w:lineRule="auto"/>
              <w:rPr>
                <w:rFonts w:hint="default" w:ascii="Times New Roman" w:hAnsi="Times New Roman" w:cs="Times New Roman"/>
                <w:color w:val="auto"/>
                <w:sz w:val="28"/>
                <w:szCs w:val="28"/>
              </w:rPr>
            </w:pPr>
            <w:r>
              <w:rPr>
                <w:rFonts w:hint="eastAsia" w:ascii="宋体" w:hAnsi="宋体" w:eastAsia="宋体" w:cs="宋体"/>
                <w:b w:val="0"/>
                <w:bCs w:val="0"/>
                <w:kern w:val="2"/>
                <w:sz w:val="24"/>
                <w:szCs w:val="24"/>
                <w:highlight w:val="none"/>
                <w:lang w:val="en-US" w:eastAsia="zh-CN" w:bidi="ar-SA"/>
              </w:rPr>
              <w:t>近3年承担过一个工程材料的供货业绩。</w:t>
            </w:r>
          </w:p>
        </w:tc>
      </w:tr>
    </w:tbl>
    <w:p w14:paraId="28F114FA">
      <w:pPr>
        <w:pStyle w:val="3"/>
        <w:keepNext w:val="0"/>
        <w:keepLines w:val="0"/>
        <w:pageBreakBefore w:val="0"/>
        <w:widowControl w:val="0"/>
        <w:kinsoku/>
        <w:wordWrap/>
        <w:overflowPunct/>
        <w:topLinePunct w:val="0"/>
        <w:autoSpaceDE/>
        <w:autoSpaceDN/>
        <w:bidi w:val="0"/>
        <w:adjustRightInd w:val="0"/>
        <w:snapToGrid/>
        <w:spacing w:after="0" w:line="440" w:lineRule="exact"/>
        <w:ind w:left="0" w:leftChars="0" w:firstLine="420" w:firstLineChars="200"/>
        <w:jc w:val="left"/>
        <w:textAlignment w:val="baseline"/>
        <w:rPr>
          <w:rFonts w:hint="default" w:ascii="Times New Roman" w:hAnsi="Times New Roman" w:eastAsia="黑体" w:cs="Times New Roman"/>
          <w:color w:val="auto"/>
          <w:kern w:val="0"/>
          <w:sz w:val="21"/>
          <w:szCs w:val="24"/>
          <w:highlight w:val="none"/>
        </w:rPr>
      </w:pPr>
      <w:r>
        <w:rPr>
          <w:rFonts w:hint="default" w:ascii="Times New Roman" w:hAnsi="Times New Roman" w:eastAsia="黑体" w:cs="Times New Roman"/>
          <w:color w:val="auto"/>
          <w:kern w:val="0"/>
          <w:sz w:val="21"/>
          <w:szCs w:val="24"/>
          <w:highlight w:val="none"/>
        </w:rPr>
        <w:t>注：</w:t>
      </w:r>
      <w:r>
        <w:rPr>
          <w:rFonts w:hint="eastAsia" w:eastAsia="黑体" w:cs="Times New Roman"/>
          <w:color w:val="auto"/>
          <w:kern w:val="0"/>
          <w:sz w:val="21"/>
          <w:szCs w:val="24"/>
          <w:highlight w:val="none"/>
          <w:lang w:val="en-US" w:eastAsia="zh-CN"/>
        </w:rPr>
        <w:t>供应商</w:t>
      </w:r>
      <w:r>
        <w:rPr>
          <w:rFonts w:hint="default" w:ascii="Times New Roman" w:hAnsi="Times New Roman" w:eastAsia="黑体" w:cs="Times New Roman"/>
          <w:color w:val="auto"/>
          <w:kern w:val="0"/>
          <w:sz w:val="21"/>
          <w:szCs w:val="24"/>
          <w:highlight w:val="none"/>
          <w:lang w:val="en-US" w:eastAsia="zh-CN"/>
        </w:rPr>
        <w:t>应提供近3年</w:t>
      </w:r>
      <w:r>
        <w:rPr>
          <w:rFonts w:hint="default" w:eastAsia="黑体" w:cs="Times New Roman"/>
          <w:color w:val="auto"/>
          <w:kern w:val="0"/>
          <w:sz w:val="21"/>
          <w:szCs w:val="24"/>
          <w:highlight w:val="none"/>
          <w:lang w:val="en-US" w:eastAsia="zh-CN"/>
        </w:rPr>
        <w:t>（</w:t>
      </w:r>
      <w:r>
        <w:rPr>
          <w:rFonts w:hint="default" w:ascii="Times New Roman" w:hAnsi="Times New Roman" w:eastAsia="黑体" w:cs="Times New Roman"/>
          <w:color w:val="auto"/>
          <w:kern w:val="0"/>
          <w:sz w:val="21"/>
          <w:szCs w:val="24"/>
          <w:highlight w:val="none"/>
          <w:lang w:val="en-US" w:eastAsia="zh-CN"/>
        </w:rPr>
        <w:t>以签订合同时间为准</w:t>
      </w:r>
      <w:r>
        <w:rPr>
          <w:rFonts w:hint="default" w:eastAsia="黑体" w:cs="Times New Roman"/>
          <w:color w:val="auto"/>
          <w:kern w:val="0"/>
          <w:sz w:val="21"/>
          <w:szCs w:val="24"/>
          <w:highlight w:val="none"/>
          <w:lang w:val="en-US" w:eastAsia="zh-CN"/>
        </w:rPr>
        <w:t>）</w:t>
      </w:r>
      <w:r>
        <w:rPr>
          <w:rFonts w:hint="default" w:ascii="Times New Roman" w:hAnsi="Times New Roman" w:eastAsia="黑体" w:cs="Times New Roman"/>
          <w:color w:val="auto"/>
          <w:kern w:val="0"/>
          <w:sz w:val="21"/>
          <w:szCs w:val="24"/>
          <w:highlight w:val="none"/>
          <w:lang w:val="en-US" w:eastAsia="zh-CN"/>
        </w:rPr>
        <w:t>来承担的类似</w:t>
      </w:r>
      <w:r>
        <w:rPr>
          <w:rFonts w:hint="default" w:eastAsia="黑体" w:cs="Times New Roman"/>
          <w:color w:val="auto"/>
          <w:kern w:val="0"/>
          <w:sz w:val="21"/>
          <w:szCs w:val="24"/>
          <w:highlight w:val="none"/>
          <w:lang w:val="en-US" w:eastAsia="zh-CN"/>
        </w:rPr>
        <w:t>业绩</w:t>
      </w:r>
      <w:r>
        <w:rPr>
          <w:rFonts w:hint="default" w:ascii="Times New Roman" w:hAnsi="Times New Roman" w:eastAsia="黑体" w:cs="Times New Roman"/>
          <w:color w:val="auto"/>
          <w:kern w:val="0"/>
          <w:sz w:val="21"/>
          <w:szCs w:val="24"/>
          <w:highlight w:val="none"/>
          <w:lang w:val="en-US" w:eastAsia="zh-CN"/>
        </w:rPr>
        <w:t>的合同协议书。合同协议书应含有：甲、乙方单位名称，供应材料品类，甲、乙方签字盖章等内容。如果合同不能反映上述要求的业绩内容，可由甲方出具有效证明。如无合同协议书或合同协议书及甲方证明不能反映上述要求的业绩内容，</w:t>
      </w:r>
      <w:r>
        <w:rPr>
          <w:rFonts w:hint="default" w:eastAsia="黑体" w:cs="Times New Roman"/>
          <w:color w:val="auto"/>
          <w:kern w:val="0"/>
          <w:sz w:val="21"/>
          <w:szCs w:val="24"/>
          <w:highlight w:val="none"/>
          <w:lang w:val="en-US" w:eastAsia="zh-CN"/>
        </w:rPr>
        <w:t>采购人</w:t>
      </w:r>
      <w:r>
        <w:rPr>
          <w:rFonts w:hint="default" w:ascii="Times New Roman" w:hAnsi="Times New Roman" w:eastAsia="黑体" w:cs="Times New Roman"/>
          <w:color w:val="auto"/>
          <w:kern w:val="0"/>
          <w:sz w:val="21"/>
          <w:szCs w:val="24"/>
          <w:highlight w:val="none"/>
          <w:lang w:val="en-US" w:eastAsia="zh-CN"/>
        </w:rPr>
        <w:t>在对</w:t>
      </w:r>
      <w:r>
        <w:rPr>
          <w:rFonts w:hint="eastAsia" w:eastAsia="黑体" w:cs="Times New Roman"/>
          <w:color w:val="auto"/>
          <w:kern w:val="0"/>
          <w:sz w:val="21"/>
          <w:szCs w:val="24"/>
          <w:highlight w:val="none"/>
          <w:lang w:val="en-US" w:eastAsia="zh-CN"/>
        </w:rPr>
        <w:t>供应商</w:t>
      </w:r>
      <w:r>
        <w:rPr>
          <w:rFonts w:hint="default" w:ascii="Times New Roman" w:hAnsi="Times New Roman" w:eastAsia="黑体" w:cs="Times New Roman"/>
          <w:color w:val="auto"/>
          <w:kern w:val="0"/>
          <w:sz w:val="21"/>
          <w:szCs w:val="24"/>
          <w:highlight w:val="none"/>
          <w:lang w:val="en-US" w:eastAsia="zh-CN"/>
        </w:rPr>
        <w:t>进行业绩审查时将不考虑该业绩。</w:t>
      </w:r>
    </w:p>
    <w:p w14:paraId="098514F1">
      <w:pPr>
        <w:pStyle w:val="3"/>
        <w:keepNext w:val="0"/>
        <w:keepLines w:val="0"/>
        <w:pageBreakBefore w:val="0"/>
        <w:widowControl w:val="0"/>
        <w:kinsoku/>
        <w:wordWrap/>
        <w:overflowPunct/>
        <w:topLinePunct w:val="0"/>
        <w:autoSpaceDE/>
        <w:autoSpaceDN/>
        <w:bidi w:val="0"/>
        <w:adjustRightInd w:val="0"/>
        <w:snapToGrid/>
        <w:spacing w:after="0" w:line="440" w:lineRule="exact"/>
        <w:ind w:left="0" w:leftChars="0" w:firstLine="560" w:firstLineChars="200"/>
        <w:jc w:val="center"/>
        <w:textAlignment w:val="baseline"/>
        <w:rPr>
          <w:rFonts w:hint="default" w:ascii="Times New Roman" w:hAnsi="Times New Roman" w:cs="Times New Roman"/>
          <w:b/>
          <w:bCs/>
          <w:color w:val="auto"/>
          <w:sz w:val="40"/>
          <w:szCs w:val="40"/>
        </w:rPr>
      </w:pPr>
      <w:r>
        <w:rPr>
          <w:rFonts w:hint="default" w:ascii="Times New Roman" w:hAnsi="Times New Roman" w:cs="Times New Roman"/>
          <w:color w:val="auto"/>
          <w:sz w:val="28"/>
          <w:szCs w:val="28"/>
        </w:rPr>
        <w:br w:type="page"/>
      </w:r>
      <w:r>
        <w:rPr>
          <w:rFonts w:hint="default" w:ascii="Times New Roman" w:hAnsi="Times New Roman" w:cs="Times New Roman"/>
          <w:b/>
          <w:bCs/>
          <w:color w:val="auto"/>
          <w:sz w:val="32"/>
          <w:szCs w:val="32"/>
        </w:rPr>
        <w:t>附录</w:t>
      </w:r>
      <w:r>
        <w:rPr>
          <w:rFonts w:hint="eastAsia" w:cs="Times New Roman"/>
          <w:b/>
          <w:bCs/>
          <w:color w:val="auto"/>
          <w:sz w:val="32"/>
          <w:szCs w:val="32"/>
          <w:lang w:val="en-US" w:eastAsia="zh-CN"/>
        </w:rPr>
        <w:t>4</w:t>
      </w:r>
      <w:r>
        <w:rPr>
          <w:rFonts w:hint="default" w:ascii="Times New Roman" w:hAnsi="Times New Roman" w:cs="Times New Roman"/>
          <w:b/>
          <w:bCs/>
          <w:color w:val="auto"/>
          <w:sz w:val="32"/>
          <w:szCs w:val="32"/>
        </w:rPr>
        <w:t xml:space="preserve"> 资格审查条件(信誉最低要求)</w:t>
      </w:r>
    </w:p>
    <w:p w14:paraId="3A3868A9">
      <w:pPr>
        <w:keepNext w:val="0"/>
        <w:keepLines w:val="0"/>
        <w:pageBreakBefore w:val="0"/>
        <w:kinsoku/>
        <w:overflowPunct/>
        <w:topLinePunct w:val="0"/>
        <w:autoSpaceDE/>
        <w:autoSpaceDN/>
        <w:bidi w:val="0"/>
        <w:snapToGrid w:val="0"/>
        <w:spacing w:line="360" w:lineRule="auto"/>
        <w:rPr>
          <w:rFonts w:hint="default" w:ascii="Times New Roman" w:hAnsi="Times New Roman" w:cs="Times New Roman"/>
          <w:bCs/>
          <w:color w:val="auto"/>
        </w:rPr>
      </w:pP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7226"/>
      </w:tblGrid>
      <w:tr w14:paraId="38DB2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269" w:type="dxa"/>
            <w:noWrap w:val="0"/>
            <w:vAlign w:val="center"/>
          </w:tcPr>
          <w:p w14:paraId="4D0DF6D2">
            <w:pPr>
              <w:keepNext w:val="0"/>
              <w:keepLines w:val="0"/>
              <w:pageBreakBefore w:val="0"/>
              <w:kinsoku/>
              <w:overflowPunct/>
              <w:topLinePunct w:val="0"/>
              <w:autoSpaceDE/>
              <w:autoSpaceDN/>
              <w:bidi w:val="0"/>
              <w:snapToGrid w:val="0"/>
              <w:spacing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32"/>
                <w:lang w:val="en-US" w:eastAsia="zh-CN"/>
              </w:rPr>
              <w:t>合同包</w:t>
            </w:r>
          </w:p>
        </w:tc>
        <w:tc>
          <w:tcPr>
            <w:tcW w:w="7073" w:type="dxa"/>
            <w:noWrap w:val="0"/>
            <w:vAlign w:val="center"/>
          </w:tcPr>
          <w:p w14:paraId="7CA6DF86">
            <w:pPr>
              <w:keepNext w:val="0"/>
              <w:keepLines w:val="0"/>
              <w:pageBreakBefore w:val="0"/>
              <w:kinsoku/>
              <w:overflowPunct/>
              <w:topLinePunct w:val="0"/>
              <w:autoSpaceDE/>
              <w:autoSpaceDN/>
              <w:bidi w:val="0"/>
              <w:snapToGrid w:val="0"/>
              <w:spacing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信誉要求</w:t>
            </w:r>
          </w:p>
        </w:tc>
      </w:tr>
      <w:tr w14:paraId="24E52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2" w:hRule="atLeast"/>
          <w:jc w:val="center"/>
        </w:trPr>
        <w:tc>
          <w:tcPr>
            <w:tcW w:w="1269" w:type="dxa"/>
            <w:noWrap w:val="0"/>
            <w:vAlign w:val="center"/>
          </w:tcPr>
          <w:p w14:paraId="116B920B">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color w:val="auto"/>
              </w:rPr>
            </w:pPr>
            <w:r>
              <w:rPr>
                <w:rFonts w:hint="default" w:cs="Times New Roman"/>
                <w:color w:val="auto"/>
                <w:sz w:val="24"/>
                <w:szCs w:val="24"/>
                <w:lang w:val="en-US" w:eastAsia="zh-CN"/>
              </w:rPr>
              <w:t>第1</w:t>
            </w:r>
            <w:r>
              <w:rPr>
                <w:rFonts w:hint="eastAsia" w:ascii="宋体" w:hAnsi="宋体" w:eastAsia="宋体" w:cs="宋体"/>
                <w:color w:val="auto"/>
                <w:sz w:val="24"/>
                <w:szCs w:val="24"/>
                <w:lang w:val="en-US" w:eastAsia="zh-CN"/>
              </w:rPr>
              <w:t>、</w:t>
            </w:r>
            <w:r>
              <w:rPr>
                <w:rFonts w:hint="eastAsia" w:cs="Times New Roman"/>
                <w:color w:val="auto"/>
                <w:sz w:val="24"/>
                <w:szCs w:val="24"/>
                <w:lang w:val="en-US" w:eastAsia="zh-CN"/>
              </w:rPr>
              <w:t>2</w:t>
            </w:r>
            <w:r>
              <w:rPr>
                <w:rFonts w:hint="default" w:cs="Times New Roman"/>
                <w:color w:val="auto"/>
                <w:sz w:val="24"/>
                <w:szCs w:val="24"/>
                <w:lang w:val="en-US" w:eastAsia="zh-CN"/>
              </w:rPr>
              <w:t>合同包</w:t>
            </w:r>
          </w:p>
        </w:tc>
        <w:tc>
          <w:tcPr>
            <w:tcW w:w="7073" w:type="dxa"/>
            <w:noWrap w:val="0"/>
            <w:vAlign w:val="center"/>
          </w:tcPr>
          <w:p w14:paraId="472A31D7">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不得存在下列情况（信誉最低要求）：</w:t>
            </w:r>
          </w:p>
          <w:p w14:paraId="3C9B075F">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1、处于被责令停业、接管或清算、破产状态；</w:t>
            </w:r>
          </w:p>
          <w:p w14:paraId="38D4DBCC">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cs="Times New Roman"/>
                <w:color w:val="auto"/>
                <w:lang w:val="en-US" w:eastAsia="zh-CN"/>
              </w:rPr>
              <w:t>2</w:t>
            </w:r>
            <w:r>
              <w:rPr>
                <w:rFonts w:hint="default" w:ascii="Times New Roman" w:hAnsi="Times New Roman" w:cs="Times New Roman"/>
                <w:color w:val="auto"/>
              </w:rPr>
              <w:t>、存在下列不良状况或不良信用记录：</w:t>
            </w:r>
          </w:p>
          <w:p w14:paraId="0DCF319C">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（1）在国家企业信用信息公示系统（http://www.gsxt.gov.cn/）中被列入严重违法失信企业名单的；</w:t>
            </w:r>
          </w:p>
          <w:p w14:paraId="6263DA1D">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（2）</w:t>
            </w:r>
            <w:r>
              <w:rPr>
                <w:rFonts w:hint="default" w:cs="Times New Roman"/>
                <w:color w:val="auto"/>
                <w:lang w:eastAsia="zh-CN"/>
              </w:rPr>
              <w:t>在“中国执行信息公开网”（http://zxgk.court.gov.cn/）中被列入失信被执行人名单</w:t>
            </w:r>
            <w:r>
              <w:rPr>
                <w:rFonts w:hint="default" w:ascii="Times New Roman" w:hAnsi="Times New Roman" w:cs="Times New Roman"/>
                <w:color w:val="auto"/>
              </w:rPr>
              <w:t>；</w:t>
            </w:r>
          </w:p>
          <w:p w14:paraId="5F5FEE01">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（3）</w:t>
            </w:r>
            <w:r>
              <w:rPr>
                <w:rFonts w:hint="eastAsia" w:cs="Times New Roman"/>
                <w:color w:val="auto"/>
                <w:lang w:eastAsia="zh-CN"/>
              </w:rPr>
              <w:t>供应商</w:t>
            </w:r>
            <w:r>
              <w:rPr>
                <w:rFonts w:hint="default" w:ascii="Times New Roman" w:hAnsi="Times New Roman" w:cs="Times New Roman"/>
                <w:color w:val="auto"/>
              </w:rPr>
              <w:t>或其法定代表人在近三年内有行贿犯罪行为的；</w:t>
            </w:r>
          </w:p>
          <w:p w14:paraId="7201EED2">
            <w:pPr>
              <w:keepNext w:val="0"/>
              <w:keepLines w:val="0"/>
              <w:pageBreakBefore w:val="0"/>
              <w:widowControl/>
              <w:kinsoku/>
              <w:overflowPunct/>
              <w:topLinePunct w:val="0"/>
              <w:autoSpaceDE/>
              <w:autoSpaceDN/>
              <w:bidi w:val="0"/>
              <w:snapToGrid/>
              <w:spacing w:line="360" w:lineRule="auto"/>
              <w:jc w:val="left"/>
              <w:rPr>
                <w:rFonts w:hint="default" w:ascii="Times New Roman" w:hAnsi="Times New Roman" w:eastAsia="宋体" w:cs="Times New Roman"/>
                <w:color w:val="auto"/>
                <w:lang w:val="en-US" w:eastAsia="zh-CN"/>
              </w:rPr>
            </w:pPr>
            <w:r>
              <w:rPr>
                <w:rFonts w:hint="default" w:ascii="Times New Roman" w:hAnsi="Times New Roman" w:cs="Times New Roman"/>
                <w:color w:val="auto"/>
              </w:rPr>
              <w:t>（4）</w:t>
            </w:r>
            <w:r>
              <w:rPr>
                <w:rFonts w:ascii="Times New Roman" w:hAnsi="Times New Roman" w:eastAsia="宋体" w:cs="Times New Roman"/>
                <w:sz w:val="24"/>
                <w:szCs w:val="24"/>
              </w:rPr>
              <w:t>其他在“信用中国”网站（http://www.creditchina.gov.cn/）中被列为</w:t>
            </w:r>
            <w:r>
              <w:rPr>
                <w:rFonts w:hint="default" w:ascii="Times New Roman" w:hAnsi="Times New Roman" w:cs="Times New Roman"/>
                <w:sz w:val="24"/>
                <w:szCs w:val="24"/>
                <w:lang w:val="en-US" w:eastAsia="zh-CN"/>
              </w:rPr>
              <w:t>严重失信主体名单</w:t>
            </w:r>
            <w:r>
              <w:rPr>
                <w:rFonts w:ascii="Times New Roman" w:hAnsi="Times New Roman" w:eastAsia="宋体" w:cs="Times New Roman"/>
                <w:sz w:val="24"/>
                <w:szCs w:val="24"/>
              </w:rPr>
              <w:t>，且按联合惩戒要求禁止参与招投标的；</w:t>
            </w:r>
          </w:p>
          <w:p w14:paraId="1E2A2DD7">
            <w:pPr>
              <w:keepNext w:val="0"/>
              <w:keepLines w:val="0"/>
              <w:pageBreakBefore w:val="0"/>
              <w:widowControl/>
              <w:kinsoku/>
              <w:overflowPunct/>
              <w:topLinePunct w:val="0"/>
              <w:autoSpaceDE/>
              <w:autoSpaceDN/>
              <w:bidi w:val="0"/>
              <w:snapToGrid/>
              <w:spacing w:line="360" w:lineRule="auto"/>
              <w:jc w:val="left"/>
              <w:rPr>
                <w:rFonts w:hint="default" w:ascii="Times New Roman" w:hAnsi="Times New Roman" w:cs="Times New Roman"/>
                <w:color w:val="auto"/>
              </w:rPr>
            </w:pPr>
            <w:r>
              <w:rPr>
                <w:rFonts w:hint="default" w:ascii="Times New Roman" w:hAnsi="Times New Roman" w:cs="Times New Roman"/>
                <w:color w:val="auto"/>
              </w:rPr>
              <w:t>（5）上一年度</w:t>
            </w:r>
            <w:r>
              <w:rPr>
                <w:rFonts w:hint="eastAsia" w:cs="Times New Roman"/>
                <w:color w:val="auto"/>
                <w:lang w:eastAsia="zh-CN"/>
              </w:rPr>
              <w:t>信用评价</w:t>
            </w:r>
            <w:r>
              <w:rPr>
                <w:rFonts w:hint="default" w:ascii="Times New Roman" w:hAnsi="Times New Roman" w:cs="Times New Roman"/>
                <w:color w:val="auto"/>
              </w:rPr>
              <w:t>被交投集团公司或建设集团评为D级且在处罚期内的供应商；</w:t>
            </w:r>
          </w:p>
          <w:p w14:paraId="78656BC3">
            <w:pPr>
              <w:keepNext w:val="0"/>
              <w:keepLines w:val="0"/>
              <w:pageBreakBefore w:val="0"/>
              <w:widowControl/>
              <w:kinsoku/>
              <w:overflowPunct/>
              <w:topLinePunct w:val="0"/>
              <w:autoSpaceDE/>
              <w:autoSpaceDN/>
              <w:bidi w:val="0"/>
              <w:snapToGrid/>
              <w:spacing w:line="360" w:lineRule="auto"/>
              <w:jc w:val="left"/>
              <w:rPr>
                <w:rFonts w:hint="default" w:ascii="Times New Roman" w:hAnsi="Times New Roman" w:cs="Times New Roman"/>
                <w:color w:val="auto"/>
              </w:rPr>
            </w:pPr>
            <w:r>
              <w:rPr>
                <w:rFonts w:hint="default" w:ascii="Times New Roman" w:hAnsi="Times New Roman" w:cs="Times New Roman"/>
                <w:color w:val="auto"/>
              </w:rPr>
              <w:t>（6）近三年度被列入交投集团公司或建设集团“</w:t>
            </w:r>
            <w:r>
              <w:rPr>
                <w:rFonts w:hint="eastAsia" w:cs="Times New Roman"/>
                <w:color w:val="auto"/>
                <w:lang w:eastAsia="zh-CN"/>
              </w:rPr>
              <w:t>不良行为记录名单</w:t>
            </w:r>
            <w:r>
              <w:rPr>
                <w:rFonts w:hint="default" w:ascii="Times New Roman" w:hAnsi="Times New Roman" w:cs="Times New Roman"/>
                <w:color w:val="auto"/>
              </w:rPr>
              <w:t>”且在处罚期内的供应商。</w:t>
            </w:r>
          </w:p>
        </w:tc>
      </w:tr>
    </w:tbl>
    <w:p w14:paraId="57CED59E">
      <w:r>
        <w:rPr>
          <w:rFonts w:hint="default" w:ascii="Times New Roman" w:hAnsi="Times New Roman" w:eastAsia="黑体" w:cs="Times New Roman"/>
          <w:color w:val="auto"/>
          <w:sz w:val="21"/>
          <w:szCs w:val="21"/>
        </w:rPr>
        <w:t>注：</w:t>
      </w:r>
      <w:r>
        <w:rPr>
          <w:rFonts w:hint="default" w:ascii="Times New Roman" w:hAnsi="Times New Roman" w:eastAsia="黑体" w:cs="Times New Roman"/>
          <w:color w:val="auto"/>
          <w:sz w:val="21"/>
          <w:szCs w:val="21"/>
          <w:lang w:val="en-US" w:eastAsia="zh-CN"/>
        </w:rPr>
        <w:t>1.</w:t>
      </w:r>
      <w:r>
        <w:rPr>
          <w:rFonts w:hint="default" w:ascii="Times New Roman" w:hAnsi="Times New Roman" w:eastAsia="黑体" w:cs="Times New Roman"/>
          <w:color w:val="auto"/>
          <w:sz w:val="21"/>
          <w:szCs w:val="21"/>
        </w:rPr>
        <w:t>对以上（1）、（2）、（4）信用状况应附指定网站截图。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EFF6B">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22D6F4A">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14:paraId="222D6F4A">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CC6EDB"/>
    <w:rsid w:val="01FD6FB9"/>
    <w:rsid w:val="035D6A6E"/>
    <w:rsid w:val="035E039C"/>
    <w:rsid w:val="06494666"/>
    <w:rsid w:val="096E0063"/>
    <w:rsid w:val="0D022D56"/>
    <w:rsid w:val="14E961B3"/>
    <w:rsid w:val="22B35F42"/>
    <w:rsid w:val="22F71D4A"/>
    <w:rsid w:val="2E935BA6"/>
    <w:rsid w:val="2EAC37A0"/>
    <w:rsid w:val="324F5A8E"/>
    <w:rsid w:val="381E1D90"/>
    <w:rsid w:val="39317225"/>
    <w:rsid w:val="48F77461"/>
    <w:rsid w:val="49074F94"/>
    <w:rsid w:val="4A845F6A"/>
    <w:rsid w:val="4FDB475F"/>
    <w:rsid w:val="559B17CF"/>
    <w:rsid w:val="5FCE36F9"/>
    <w:rsid w:val="65CD5177"/>
    <w:rsid w:val="68080070"/>
    <w:rsid w:val="6BBA3E5B"/>
    <w:rsid w:val="6CB7082E"/>
    <w:rsid w:val="6DCC6EDB"/>
    <w:rsid w:val="6FD86023"/>
    <w:rsid w:val="73CC21A0"/>
    <w:rsid w:val="74AB3995"/>
    <w:rsid w:val="75B26F10"/>
    <w:rsid w:val="763D5AC7"/>
    <w:rsid w:val="76553754"/>
    <w:rsid w:val="7A8B0C69"/>
    <w:rsid w:val="7C813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ind w:left="101"/>
    </w:pPr>
    <w:rPr>
      <w:rFonts w:ascii="宋体" w:hAnsi="宋体" w:eastAsia="宋体" w:cs="宋体"/>
      <w:lang w:val="zh-CN" w:bidi="zh-CN"/>
    </w:rPr>
  </w:style>
  <w:style w:type="paragraph" w:styleId="3">
    <w:name w:val="Body Text Indent"/>
    <w:basedOn w:val="1"/>
    <w:next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2"/>
    <w:next w:val="7"/>
    <w:qFormat/>
    <w:uiPriority w:val="99"/>
    <w:pPr>
      <w:spacing w:line="360" w:lineRule="auto"/>
      <w:ind w:firstLine="420" w:firstLineChars="100"/>
    </w:pPr>
    <w:rPr>
      <w:rFonts w:hAnsi="Times New Roman"/>
      <w:szCs w:val="21"/>
    </w:rPr>
  </w:style>
  <w:style w:type="paragraph" w:styleId="7">
    <w:name w:val="Body Text First Indent 2"/>
    <w:basedOn w:val="3"/>
    <w:next w:val="1"/>
    <w:unhideWhenUsed/>
    <w:qFormat/>
    <w:uiPriority w:val="99"/>
    <w:pPr>
      <w:ind w:firstLine="420" w:firstLineChars="200"/>
    </w:pPr>
    <w:rPr>
      <w:rFonts w:ascii="Times New Roman" w:hAnsi="Times New Roman"/>
    </w:rPr>
  </w:style>
  <w:style w:type="paragraph" w:customStyle="1" w:styleId="10">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2919</Words>
  <Characters>4294</Characters>
  <Lines>0</Lines>
  <Paragraphs>0</Paragraphs>
  <TotalTime>0</TotalTime>
  <ScaleCrop>false</ScaleCrop>
  <LinksUpToDate>false</LinksUpToDate>
  <CharactersWithSpaces>4334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2025-06-23T08:12:00Z</dcterms:created>
  <dc:creator>姜菲</dc:creator>
  <cp:lastModifiedBy>姜菲</cp:lastModifiedBy>
  <dcterms:modified xsi:type="dcterms:W3CDTF">2025-06-23T10:39:47Z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DCC9FDD40AE94FB2BE829D09C0E5B1B7_13</vt:lpwstr>
  </property>
  <property fmtid="{D5CDD505-2E9C-101B-9397-08002B2CF9AE}" pid="4" name="KSOTemplateDocerSaveRecord">
    <vt:lpwstr>eyJoZGlkIjoiZmUwMzQ0N2NkZTY1MmNkNzU0NTJkOTA1MDZhZjE1NjciLCJ1c2VySWQiOiIxNjg1NzEwNjE1In0=</vt:lpwstr>
  </property>
</Properties>
</file>