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93997">
      <w:pPr>
        <w:keepNext w:val="0"/>
        <w:keepLines w:val="0"/>
        <w:pageBreakBefore w:val="0"/>
        <w:kinsoku/>
        <w:wordWrap/>
        <w:overflowPunct/>
        <w:topLinePunct w:val="0"/>
        <w:autoSpaceDE/>
        <w:autoSpaceDN/>
        <w:bidi w:val="0"/>
        <w:spacing w:line="360" w:lineRule="auto"/>
        <w:jc w:val="left"/>
        <w:textAlignment w:val="auto"/>
        <w:outlineLvl w:val="1"/>
        <w:rPr>
          <w:rFonts w:hint="default" w:ascii="Times New Roman" w:hAnsi="Times New Roman" w:cs="Times New Roman"/>
          <w:b/>
        </w:rPr>
      </w:pPr>
      <w:r>
        <w:rPr>
          <w:rFonts w:hint="default" w:ascii="Times New Roman" w:hAnsi="Times New Roman" w:cs="Times New Roman"/>
          <w:b/>
        </w:rPr>
        <w:t>2.项目概况与</w:t>
      </w:r>
      <w:r>
        <w:rPr>
          <w:rFonts w:hint="default" w:cs="Times New Roman"/>
          <w:b/>
          <w:lang w:eastAsia="zh-CN"/>
        </w:rPr>
        <w:t>采购</w:t>
      </w:r>
      <w:r>
        <w:rPr>
          <w:rFonts w:hint="default" w:ascii="Times New Roman" w:hAnsi="Times New Roman" w:cs="Times New Roman"/>
          <w:b/>
        </w:rPr>
        <w:t>范围</w:t>
      </w:r>
    </w:p>
    <w:p w14:paraId="3A7928D1">
      <w:pPr>
        <w:keepNext w:val="0"/>
        <w:keepLines w:val="0"/>
        <w:pageBreakBefore w:val="0"/>
        <w:tabs>
          <w:tab w:val="center" w:pos="4422"/>
        </w:tabs>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rPr>
        <w:t>2.1 项目概况</w:t>
      </w:r>
      <w:r>
        <w:rPr>
          <w:rFonts w:hint="default" w:cs="Times New Roman"/>
          <w:lang w:eastAsia="zh-CN"/>
        </w:rPr>
        <w:tab/>
      </w:r>
    </w:p>
    <w:p w14:paraId="12286076">
      <w:pPr>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default" w:cs="Times New Roman"/>
          <w:bCs/>
          <w:color w:val="auto"/>
          <w:szCs w:val="24"/>
          <w:highlight w:val="none"/>
          <w:u w:val="single"/>
          <w:lang w:val="en-US" w:eastAsia="zh-CN" w:bidi="ar"/>
        </w:rPr>
      </w:pPr>
      <w:r>
        <w:rPr>
          <w:rFonts w:hint="default" w:cs="Times New Roman"/>
          <w:bCs/>
          <w:color w:val="auto"/>
          <w:szCs w:val="24"/>
          <w:highlight w:val="none"/>
          <w:u w:val="single"/>
          <w:lang w:val="en-US" w:eastAsia="zh-CN" w:bidi="ar"/>
        </w:rPr>
        <w:t>S311郭场至窑湾改扩建工程第一期工程施工段落起讫里程为K8+200～K12+448、K12+968～K16+000，路线全长7.28km，其中新建5.68km、改扩建1.6km，采用双向四车道一级公路标准建设，路基宽度24.5m，设计车速80km/h；城镇段路基宽度19.5m，设计车速60km/h。</w:t>
      </w:r>
    </w:p>
    <w:p w14:paraId="6A8CEE96">
      <w:pPr>
        <w:keepNext w:val="0"/>
        <w:keepLines w:val="0"/>
        <w:pageBreakBefore w:val="0"/>
        <w:widowControl/>
        <w:kinsoku/>
        <w:wordWrap/>
        <w:overflowPunct/>
        <w:topLinePunct w:val="0"/>
        <w:autoSpaceDE/>
        <w:autoSpaceDN/>
        <w:bidi w:val="0"/>
        <w:snapToGrid w:val="0"/>
        <w:spacing w:line="440" w:lineRule="exact"/>
        <w:ind w:firstLine="480" w:firstLineChars="200"/>
        <w:jc w:val="both"/>
        <w:textAlignment w:val="auto"/>
        <w:rPr>
          <w:rFonts w:hint="default" w:ascii="Times New Roman" w:hAnsi="Times New Roman" w:eastAsia="宋体" w:cs="Times New Roman"/>
          <w:bCs/>
          <w:color w:val="auto"/>
          <w:szCs w:val="24"/>
          <w:highlight w:val="none"/>
          <w:u w:val="single"/>
          <w:lang w:val="en-US" w:eastAsia="zh-CN" w:bidi="ar"/>
        </w:rPr>
      </w:pPr>
      <w:r>
        <w:rPr>
          <w:rFonts w:hint="default" w:cs="Times New Roman"/>
          <w:bCs/>
          <w:color w:val="auto"/>
          <w:szCs w:val="24"/>
          <w:highlight w:val="none"/>
          <w:u w:val="single"/>
          <w:lang w:val="en-US" w:eastAsia="zh-CN" w:bidi="ar"/>
        </w:rPr>
        <w:t xml:space="preserve">S342项目起于当阳市河溶镇，接253省道，沿S342老路向东，经李家贩、徐家湾至高店子村进入当阳市与沙洋县交界处董家岗村，路线全长7.633km,设桥梁26.04m/1座，涵洞26道，按双向两车道二级公路标准建设，路基宽度8.5m，设计车速60km/h。  </w:t>
      </w:r>
    </w:p>
    <w:p w14:paraId="78057DEA">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bidi="ar"/>
        </w:rPr>
      </w:pPr>
      <w:r>
        <w:rPr>
          <w:rFonts w:hint="default" w:ascii="Times New Roman" w:hAnsi="Times New Roman" w:cs="Times New Roman"/>
        </w:rPr>
        <w:t xml:space="preserve">2.2 </w:t>
      </w:r>
      <w:r>
        <w:rPr>
          <w:rFonts w:hint="default" w:cs="Times New Roman"/>
          <w:lang w:eastAsia="zh-CN"/>
        </w:rPr>
        <w:t>采购</w:t>
      </w:r>
      <w:r>
        <w:rPr>
          <w:rFonts w:hint="default" w:ascii="Times New Roman" w:hAnsi="Times New Roman" w:cs="Times New Roman"/>
        </w:rPr>
        <w:t>范围</w:t>
      </w:r>
    </w:p>
    <w:p w14:paraId="7334102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cs="Times New Roman"/>
          <w:u w:val="single"/>
          <w:lang w:val="en-US" w:eastAsia="zh-CN" w:bidi="ar"/>
        </w:rPr>
      </w:pPr>
      <w:r>
        <w:rPr>
          <w:rFonts w:hint="default" w:ascii="Times New Roman" w:hAnsi="Times New Roman" w:cs="Times New Roman"/>
          <w:lang w:bidi="ar"/>
        </w:rPr>
        <w:t>本次</w:t>
      </w:r>
      <w:r>
        <w:rPr>
          <w:rFonts w:hint="default" w:cs="Times New Roman"/>
          <w:lang w:eastAsia="zh-CN" w:bidi="ar"/>
        </w:rPr>
        <w:t>采购</w:t>
      </w:r>
      <w:r>
        <w:rPr>
          <w:rFonts w:hint="default" w:ascii="Times New Roman" w:hAnsi="Times New Roman" w:cs="Times New Roman"/>
          <w:lang w:bidi="ar"/>
        </w:rPr>
        <w:t>共划</w:t>
      </w:r>
      <w:r>
        <w:rPr>
          <w:rFonts w:hint="default" w:ascii="Times New Roman" w:hAnsi="Times New Roman" w:cs="Times New Roman"/>
          <w:lang w:val="en-US" w:eastAsia="zh-CN" w:bidi="ar"/>
        </w:rPr>
        <w:t>分</w:t>
      </w:r>
      <w:r>
        <w:rPr>
          <w:rFonts w:hint="eastAsia" w:cs="Times New Roman"/>
          <w:u w:val="single"/>
          <w:lang w:val="en-US" w:eastAsia="zh-CN" w:bidi="ar"/>
        </w:rPr>
        <w:t xml:space="preserve"> 1 </w:t>
      </w:r>
      <w:r>
        <w:rPr>
          <w:rFonts w:hint="default" w:ascii="Times New Roman" w:hAnsi="Times New Roman" w:cs="Times New Roman"/>
          <w:lang w:bidi="ar"/>
        </w:rPr>
        <w:t>个合同包，具体</w:t>
      </w:r>
      <w:r>
        <w:rPr>
          <w:rFonts w:hint="default" w:cs="Times New Roman"/>
          <w:lang w:eastAsia="zh-CN" w:bidi="ar"/>
        </w:rPr>
        <w:t>采购</w:t>
      </w:r>
      <w:r>
        <w:rPr>
          <w:rFonts w:hint="default" w:ascii="Times New Roman" w:hAnsi="Times New Roman" w:cs="Times New Roman"/>
          <w:lang w:bidi="ar"/>
        </w:rPr>
        <w:t>范围如下：</w:t>
      </w:r>
      <w:r>
        <w:rPr>
          <w:rFonts w:hint="default" w:cs="Times New Roman"/>
          <w:u w:val="single"/>
          <w:lang w:val="en-US" w:eastAsia="zh-CN" w:bidi="ar"/>
        </w:rPr>
        <w:t xml:space="preserve"> 龙门架96m,八牌一图18套，宣传栏20套，宣传围挡画300㎡，市政围挡400m,洗车平台1个，交通锥1000个，交通柱（PVC）750个,滚塑水马1000个，防撞桶800个，格栅式围栏200套，网片式围栏200套，分配电箱25个，开关箱50个，安全帽625顶，反光马甲400件，各类防护服550件，灭火器210罐，各类安全标识标牌600个，各类公示、宣传、制度、指引标识牌若干等。</w:t>
      </w:r>
    </w:p>
    <w:p w14:paraId="46F54B1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2.3 供货起始时间：</w:t>
      </w:r>
      <w:r>
        <w:rPr>
          <w:rFonts w:hint="default" w:cs="Times New Roman"/>
          <w:u w:val="single"/>
          <w:lang w:val="en-US" w:eastAsia="zh-CN"/>
        </w:rPr>
        <w:t xml:space="preserve"> </w:t>
      </w:r>
      <w:r>
        <w:rPr>
          <w:rFonts w:hint="eastAsia" w:cs="Times New Roman"/>
          <w:u w:val="single"/>
          <w:lang w:val="en-US" w:eastAsia="zh-CN"/>
        </w:rPr>
        <w:t xml:space="preserve">2025年7月 </w:t>
      </w:r>
      <w:r>
        <w:rPr>
          <w:rFonts w:hint="default" w:cs="Times New Roman"/>
          <w:lang w:val="en-US" w:eastAsia="zh-CN"/>
        </w:rPr>
        <w:t>，具体以采购人通知为准。</w:t>
      </w:r>
    </w:p>
    <w:p w14:paraId="15013C60">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2.4 供货地点：</w:t>
      </w:r>
      <w:r>
        <w:rPr>
          <w:rFonts w:hint="default" w:cs="Times New Roman"/>
          <w:u w:val="single"/>
          <w:lang w:val="en-US" w:eastAsia="zh-CN"/>
        </w:rPr>
        <w:t xml:space="preserve"> </w:t>
      </w:r>
      <w:r>
        <w:rPr>
          <w:rFonts w:hint="eastAsia" w:cs="Times New Roman"/>
          <w:u w:val="single"/>
          <w:lang w:val="en-US" w:eastAsia="zh-CN"/>
        </w:rPr>
        <w:t>湖北省宜昌市当阳市河溶镇前进村村民委员会，</w:t>
      </w:r>
      <w:r>
        <w:rPr>
          <w:rFonts w:hint="default" w:cs="Times New Roman"/>
          <w:u w:val="single"/>
          <w:lang w:val="en-US" w:eastAsia="zh-CN"/>
        </w:rPr>
        <w:t>具体</w:t>
      </w:r>
      <w:r>
        <w:rPr>
          <w:rFonts w:hint="eastAsia" w:cs="Times New Roman"/>
          <w:u w:val="single"/>
          <w:lang w:val="en-US" w:eastAsia="zh-CN"/>
        </w:rPr>
        <w:t>供货地点</w:t>
      </w:r>
      <w:r>
        <w:rPr>
          <w:rFonts w:hint="default" w:cs="Times New Roman"/>
          <w:u w:val="single"/>
          <w:lang w:val="en-US" w:eastAsia="zh-CN"/>
        </w:rPr>
        <w:t xml:space="preserve">以采购人通知为准  </w:t>
      </w:r>
      <w:r>
        <w:rPr>
          <w:rFonts w:hint="default" w:cs="Times New Roman"/>
          <w:lang w:val="en-US" w:eastAsia="zh-CN"/>
        </w:rPr>
        <w:t>。</w:t>
      </w:r>
    </w:p>
    <w:p w14:paraId="48C6C9BA">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u w:val="none"/>
          <w:lang w:val="en-US" w:eastAsia="zh-CN"/>
        </w:rPr>
      </w:pPr>
      <w:r>
        <w:rPr>
          <w:rFonts w:hint="default" w:ascii="Times New Roman" w:hAnsi="Times New Roman" w:cs="Times New Roman"/>
        </w:rPr>
        <w:t>2.</w:t>
      </w:r>
      <w:r>
        <w:rPr>
          <w:rFonts w:hint="default" w:cs="Times New Roman"/>
          <w:lang w:val="en-US" w:eastAsia="zh-CN"/>
        </w:rPr>
        <w:t>5</w:t>
      </w:r>
      <w:r>
        <w:rPr>
          <w:rFonts w:hint="default" w:ascii="Times New Roman" w:hAnsi="Times New Roman" w:cs="Times New Roman"/>
        </w:rPr>
        <w:t xml:space="preserve"> 质量标准</w:t>
      </w:r>
      <w:r>
        <w:rPr>
          <w:rFonts w:hint="default" w:cs="Times New Roman"/>
          <w:lang w:eastAsia="zh-CN"/>
        </w:rPr>
        <w:t>：</w:t>
      </w:r>
      <w:r>
        <w:rPr>
          <w:rFonts w:hint="default" w:cs="Times New Roman"/>
          <w:u w:val="single"/>
          <w:lang w:val="en-US" w:eastAsia="zh-CN"/>
        </w:rPr>
        <w:t xml:space="preserve"> </w:t>
      </w:r>
      <w:r>
        <w:rPr>
          <w:rFonts w:hint="eastAsia" w:ascii="Times New Roman" w:hAnsi="Times New Roman" w:eastAsia="宋体" w:cs="Times New Roman"/>
          <w:u w:val="single"/>
          <w:lang w:val="en-US" w:eastAsia="zh-CN"/>
        </w:rPr>
        <w:t>执行材料标准及《湖北交投建设集团有限公司安全防护标准化图册》的相关要求，具体</w:t>
      </w:r>
      <w:r>
        <w:rPr>
          <w:rFonts w:hint="default" w:cs="Times New Roman"/>
          <w:u w:val="single"/>
          <w:lang w:val="en-US" w:eastAsia="zh-CN"/>
        </w:rPr>
        <w:t>以采购人</w:t>
      </w:r>
      <w:r>
        <w:rPr>
          <w:rFonts w:hint="eastAsia" w:cs="Times New Roman"/>
          <w:u w:val="single"/>
          <w:lang w:val="en-US" w:eastAsia="zh-CN"/>
        </w:rPr>
        <w:t>需求为准</w:t>
      </w:r>
      <w:r>
        <w:rPr>
          <w:rFonts w:hint="default" w:cs="Times New Roman"/>
          <w:u w:val="none"/>
          <w:lang w:val="en-US" w:eastAsia="zh-CN"/>
        </w:rPr>
        <w:t>。</w:t>
      </w:r>
    </w:p>
    <w:p w14:paraId="69BFA68F">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p>
    <w:p w14:paraId="20966F4D">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p>
    <w:p w14:paraId="6B60CDA9">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p>
    <w:p w14:paraId="3B1A3DAD">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p>
    <w:p w14:paraId="2FAEEB10">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bookmarkStart w:id="0" w:name="_GoBack"/>
      <w:bookmarkEnd w:id="0"/>
    </w:p>
    <w:p w14:paraId="6CB157D5">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pPr>
    </w:p>
    <w:p w14:paraId="51D994A2">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14:paraId="54A75736">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3F8596B8">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14:paraId="0E48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14:paraId="3F3E25A5">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14:paraId="4EBE69B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14:paraId="7D03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jc w:val="center"/>
        </w:trPr>
        <w:tc>
          <w:tcPr>
            <w:tcW w:w="789" w:type="pct"/>
            <w:noWrap w:val="0"/>
            <w:vAlign w:val="center"/>
          </w:tcPr>
          <w:p w14:paraId="1056A3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14:paraId="499DD5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1、</w:t>
            </w:r>
            <w:r>
              <w:rPr>
                <w:rFonts w:hint="eastAsia"/>
                <w:lang w:val="en-US" w:eastAsia="zh-CN"/>
              </w:rPr>
              <w:t>供应商</w:t>
            </w:r>
            <w:r>
              <w:rPr>
                <w:rFonts w:hint="default"/>
                <w:lang w:val="en-US" w:eastAsia="zh-CN"/>
              </w:rPr>
              <w:t>若为生产厂家，</w:t>
            </w:r>
            <w:r>
              <w:rPr>
                <w:rFonts w:hint="default"/>
              </w:rPr>
              <w:t>须同时具备：</w:t>
            </w:r>
          </w:p>
          <w:p w14:paraId="3D3D919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（1）具备</w:t>
            </w:r>
            <w:r>
              <w:rPr>
                <w:rFonts w:hint="default"/>
                <w:lang w:val="en-US" w:eastAsia="zh-CN"/>
              </w:rPr>
              <w:t>独立的法人资格，具有</w:t>
            </w:r>
            <w:r>
              <w:rPr>
                <w:rFonts w:hint="default"/>
              </w:rPr>
              <w:t>有效的营业执照；</w:t>
            </w:r>
          </w:p>
          <w:p w14:paraId="6E7D41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i w:val="0"/>
                <w:iCs w:val="0"/>
                <w:lang w:eastAsia="zh-CN"/>
              </w:rPr>
            </w:pPr>
            <w:r>
              <w:rPr>
                <w:rFonts w:hint="default"/>
                <w:i w:val="0"/>
                <w:iCs w:val="0"/>
              </w:rPr>
              <w:t>（2）有效的《安全生产许可证》</w:t>
            </w:r>
            <w:r>
              <w:rPr>
                <w:rFonts w:hint="default"/>
                <w:i w:val="0"/>
                <w:iCs w:val="0"/>
                <w:lang w:eastAsia="zh-CN"/>
              </w:rPr>
              <w:t>。</w:t>
            </w:r>
          </w:p>
          <w:p w14:paraId="065710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2、</w:t>
            </w:r>
            <w:r>
              <w:rPr>
                <w:rFonts w:hint="eastAsia"/>
                <w:lang w:val="en-US" w:eastAsia="zh-CN"/>
              </w:rPr>
              <w:t>供应商</w:t>
            </w:r>
            <w:r>
              <w:rPr>
                <w:rFonts w:hint="default"/>
                <w:lang w:val="en-US" w:eastAsia="zh-CN"/>
              </w:rPr>
              <w:t>若为经销商，须同时具备：</w:t>
            </w:r>
          </w:p>
          <w:p w14:paraId="76EA72C4">
            <w:pPr>
              <w:rPr>
                <w:rFonts w:hint="default"/>
                <w:lang w:val="en-US" w:eastAsia="zh-CN"/>
              </w:rPr>
            </w:pPr>
            <w:r>
              <w:rPr>
                <w:rFonts w:hint="default"/>
                <w:lang w:val="en-US" w:eastAsia="zh-CN"/>
              </w:rPr>
              <w:t>（1）</w:t>
            </w:r>
            <w:r>
              <w:rPr>
                <w:rFonts w:hint="default"/>
              </w:rPr>
              <w:t>具备</w:t>
            </w:r>
            <w:r>
              <w:rPr>
                <w:rFonts w:hint="default"/>
                <w:lang w:val="en-US" w:eastAsia="zh-CN"/>
              </w:rPr>
              <w:t>独立的法人资格，具有</w:t>
            </w:r>
            <w:r>
              <w:rPr>
                <w:rFonts w:hint="default"/>
              </w:rPr>
              <w:t>有效的营业执照</w:t>
            </w:r>
            <w:r>
              <w:rPr>
                <w:rFonts w:hint="default"/>
                <w:lang w:val="en-US" w:eastAsia="zh-CN"/>
              </w:rPr>
              <w:t>。</w:t>
            </w:r>
          </w:p>
        </w:tc>
      </w:tr>
    </w:tbl>
    <w:p w14:paraId="4331C378">
      <w:pPr>
        <w:keepNext w:val="0"/>
        <w:keepLines w:val="0"/>
        <w:pageBreakBefore w:val="0"/>
        <w:kinsoku/>
        <w:overflowPunct/>
        <w:topLinePunct w:val="0"/>
        <w:autoSpaceDE/>
        <w:autoSpaceDN/>
        <w:bidi w:val="0"/>
        <w:snapToGrid w:val="0"/>
        <w:spacing w:line="440" w:lineRule="exact"/>
        <w:ind w:firstLine="0" w:firstLineChars="0"/>
        <w:outlineLvl w:val="9"/>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注：1、供应商应提供营业执照及资格要求的其他证明材料扫描件。</w:t>
      </w:r>
    </w:p>
    <w:p w14:paraId="2FE0F521">
      <w:pPr>
        <w:keepNext w:val="0"/>
        <w:keepLines w:val="0"/>
        <w:pageBreakBefore w:val="0"/>
        <w:kinsoku/>
        <w:overflowPunct/>
        <w:topLinePunct w:val="0"/>
        <w:autoSpaceDE/>
        <w:autoSpaceDN/>
        <w:bidi w:val="0"/>
        <w:snapToGrid w:val="0"/>
        <w:spacing w:line="440" w:lineRule="exact"/>
        <w:ind w:firstLine="420" w:firstLineChars="200"/>
        <w:outlineLvl w:val="9"/>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2、对于法人发生重组或变更的供应商，应提供法人重组或变更时相关部门的合法批件、变更时的营业执照、相关证书的变更记录扫描件。</w:t>
      </w:r>
    </w:p>
    <w:p w14:paraId="682F03ED">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14:paraId="7831F149">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14:paraId="0B5C2295">
      <w:pPr>
        <w:pStyle w:val="5"/>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7249"/>
      </w:tblGrid>
      <w:tr w14:paraId="5225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14:paraId="7E68175C">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14:paraId="0FEA4CB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14:paraId="2D3D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56A032A4">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14:paraId="6C7923A9">
            <w:pPr>
              <w:pStyle w:val="5"/>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default"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200</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40</w:t>
            </w:r>
            <w:r>
              <w:rPr>
                <w:rFonts w:hint="default" w:ascii="Times New Roman" w:hAnsi="Times New Roman" w:eastAsia="宋体" w:cs="Times New Roman"/>
                <w:i w:val="0"/>
                <w:color w:val="auto"/>
                <w:kern w:val="0"/>
                <w:sz w:val="24"/>
                <w:szCs w:val="22"/>
                <w:highlight w:val="none"/>
                <w:u w:val="none"/>
                <w:lang w:val="en-US" w:eastAsia="zh-CN" w:bidi="ar"/>
              </w:rPr>
              <w:t>万元。</w:t>
            </w:r>
          </w:p>
          <w:p w14:paraId="6D583746">
            <w:pPr>
              <w:pStyle w:val="5"/>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4</w:t>
            </w:r>
            <w:r>
              <w:rPr>
                <w:rFonts w:hint="default" w:cs="Times New Roman"/>
                <w:i w:val="0"/>
                <w:color w:val="auto"/>
                <w:kern w:val="0"/>
                <w:sz w:val="24"/>
                <w:szCs w:val="22"/>
                <w:highlight w:val="none"/>
                <w:u w:val="single"/>
                <w:lang w:val="en-US" w:eastAsia="zh-CN" w:bidi="ar"/>
              </w:rPr>
              <w:t xml:space="preserve">  </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6</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w:t>
            </w:r>
            <w:r>
              <w:rPr>
                <w:rFonts w:hint="eastAsia" w:cs="Times New Roman"/>
                <w:i w:val="0"/>
                <w:color w:val="auto"/>
                <w:kern w:val="0"/>
                <w:sz w:val="24"/>
                <w:szCs w:val="22"/>
                <w:highlight w:val="none"/>
                <w:u w:val="none"/>
                <w:lang w:val="en-US" w:eastAsia="zh-CN" w:bidi="ar"/>
              </w:rPr>
              <w:t>3个月</w:t>
            </w:r>
            <w:r>
              <w:rPr>
                <w:rFonts w:hint="default" w:ascii="Times New Roman" w:hAnsi="Times New Roman" w:eastAsia="宋体" w:cs="Times New Roman"/>
                <w:i w:val="0"/>
                <w:color w:val="auto"/>
                <w:kern w:val="0"/>
                <w:sz w:val="24"/>
                <w:szCs w:val="22"/>
                <w:highlight w:val="none"/>
                <w:u w:val="none"/>
                <w:lang w:val="en-US" w:eastAsia="zh-CN" w:bidi="ar"/>
              </w:rPr>
              <w:t>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6</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21BF4A49">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14:paraId="7FC72BE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注：1.采用方式</w:t>
      </w:r>
      <w:r>
        <w:rPr>
          <w:rFonts w:hint="default" w:eastAsia="黑体" w:cs="Times New Roman"/>
          <w:color w:val="auto"/>
          <w:sz w:val="21"/>
          <w:lang w:val="en-US" w:eastAsia="zh-CN"/>
        </w:rPr>
        <w:t>一</w:t>
      </w:r>
      <w:r>
        <w:rPr>
          <w:rFonts w:hint="default" w:ascii="Times New Roman" w:hAnsi="Times New Roman" w:eastAsia="黑体" w:cs="Times New Roman"/>
          <w:color w:val="auto"/>
          <w:sz w:val="21"/>
        </w:rPr>
        <w:t>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default"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14:paraId="61C656DA">
      <w:pPr>
        <w:pStyle w:val="8"/>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2.采用方式</w:t>
      </w:r>
      <w:r>
        <w:rPr>
          <w:rFonts w:hint="default" w:eastAsia="黑体" w:cs="Times New Roman"/>
          <w:color w:val="auto"/>
          <w:sz w:val="21"/>
          <w:lang w:val="en-US" w:eastAsia="zh-CN"/>
        </w:rPr>
        <w:t>二</w:t>
      </w:r>
      <w:r>
        <w:rPr>
          <w:rFonts w:hint="default" w:ascii="Times New Roman" w:hAnsi="Times New Roman" w:eastAsia="黑体" w:cs="Times New Roman"/>
          <w:color w:val="auto"/>
          <w:sz w:val="21"/>
        </w:rPr>
        <w:t>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14:paraId="198486D5">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14:paraId="70279029">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14:paraId="6D51471A">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02E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14:paraId="2985F75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0C8A68E8">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14:paraId="3F5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14:paraId="77D5BFC5">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2F0C4952">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highlight w:val="none"/>
              </w:rPr>
              <w:t>近</w:t>
            </w:r>
            <w:r>
              <w:rPr>
                <w:rFonts w:hint="eastAsia" w:cs="Times New Roman"/>
                <w:i w:val="0"/>
                <w:iCs w:val="0"/>
                <w:color w:val="auto"/>
                <w:highlight w:val="none"/>
                <w:lang w:eastAsia="zh-CN"/>
              </w:rPr>
              <w:t>5</w:t>
            </w:r>
            <w:r>
              <w:rPr>
                <w:rFonts w:hint="default" w:ascii="Times New Roman" w:hAnsi="Times New Roman" w:cs="Times New Roman"/>
                <w:i w:val="0"/>
                <w:iCs w:val="0"/>
                <w:color w:val="auto"/>
                <w:highlight w:val="none"/>
              </w:rPr>
              <w:t>年</w:t>
            </w:r>
            <w:r>
              <w:rPr>
                <w:rFonts w:hint="default" w:ascii="Times New Roman" w:hAnsi="Times New Roman" w:cs="Times New Roman"/>
                <w:i w:val="0"/>
                <w:iCs w:val="0"/>
                <w:color w:val="auto"/>
                <w:highlight w:val="none"/>
                <w:lang w:val="en-US" w:eastAsia="zh-CN"/>
              </w:rPr>
              <w:t>承担过</w:t>
            </w:r>
            <w:r>
              <w:rPr>
                <w:rFonts w:hint="default" w:ascii="Times New Roman" w:hAnsi="Times New Roman" w:cs="Times New Roman"/>
                <w:i w:val="0"/>
                <w:iCs w:val="0"/>
                <w:color w:val="auto"/>
                <w:highlight w:val="none"/>
                <w:u w:val="single"/>
                <w:lang w:val="en-US" w:eastAsia="zh-CN"/>
              </w:rPr>
              <w:t>1个</w:t>
            </w:r>
            <w:r>
              <w:rPr>
                <w:rFonts w:hint="eastAsia" w:cs="Times New Roman"/>
                <w:i w:val="0"/>
                <w:iCs w:val="0"/>
                <w:color w:val="auto"/>
                <w:highlight w:val="none"/>
                <w:u w:val="single"/>
                <w:lang w:val="en-US" w:eastAsia="zh-CN"/>
              </w:rPr>
              <w:t>交通安全材料</w:t>
            </w:r>
            <w:r>
              <w:rPr>
                <w:rFonts w:hint="default" w:ascii="Times New Roman" w:hAnsi="Times New Roman" w:cs="Times New Roman"/>
                <w:i w:val="0"/>
                <w:iCs w:val="0"/>
                <w:color w:val="auto"/>
                <w:highlight w:val="none"/>
                <w:u w:val="single"/>
                <w:lang w:val="en-US" w:eastAsia="zh-CN"/>
              </w:rPr>
              <w:t>供应</w:t>
            </w:r>
            <w:r>
              <w:rPr>
                <w:rFonts w:hint="default" w:ascii="Times New Roman" w:hAnsi="Times New Roman" w:cs="Times New Roman"/>
                <w:i w:val="0"/>
                <w:iCs w:val="0"/>
                <w:color w:val="auto"/>
                <w:highlight w:val="none"/>
                <w:u w:val="single"/>
              </w:rPr>
              <w:t>业绩。</w:t>
            </w:r>
          </w:p>
        </w:tc>
      </w:tr>
    </w:tbl>
    <w:p w14:paraId="3B2B006A">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应提供近</w:t>
      </w:r>
      <w:r>
        <w:rPr>
          <w:rFonts w:hint="eastAsia" w:eastAsia="黑体" w:cs="Times New Roman"/>
          <w:color w:val="auto"/>
          <w:kern w:val="0"/>
          <w:sz w:val="21"/>
          <w:szCs w:val="24"/>
          <w:highlight w:val="none"/>
          <w:lang w:val="en-US" w:eastAsia="zh-CN"/>
        </w:rPr>
        <w:t>5</w:t>
      </w:r>
      <w:r>
        <w:rPr>
          <w:rFonts w:hint="default" w:ascii="Times New Roman" w:hAnsi="Times New Roman" w:eastAsia="黑体" w:cs="Times New Roman"/>
          <w:color w:val="auto"/>
          <w:kern w:val="0"/>
          <w:sz w:val="21"/>
          <w:szCs w:val="24"/>
          <w:highlight w:val="none"/>
          <w:lang w:val="en-US" w:eastAsia="zh-CN"/>
        </w:rPr>
        <w:t>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进行业绩审查时将不考虑该业绩。</w:t>
      </w:r>
    </w:p>
    <w:p w14:paraId="486B9E37">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14:paraId="3B903D73">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687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22C72A0E">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286C058C">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14:paraId="42F5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7DB5C8A3">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1365D02A">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31DD3DB0">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69BECD74">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156F3CA6">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47B64F40">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1ABC4C01">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w:t>
            </w:r>
            <w:r>
              <w:rPr>
                <w:rFonts w:hint="eastAsia" w:cs="Times New Roman"/>
                <w:color w:val="auto"/>
                <w:lang w:eastAsia="zh-CN"/>
              </w:rPr>
              <w:t>供应商</w:t>
            </w:r>
            <w:r>
              <w:rPr>
                <w:rFonts w:hint="default" w:ascii="Times New Roman" w:hAnsi="Times New Roman" w:cs="Times New Roman"/>
                <w:color w:val="auto"/>
              </w:rPr>
              <w:t>或其法定代表人在近三年内有行贿犯罪行为的；</w:t>
            </w:r>
          </w:p>
          <w:p w14:paraId="66AA7ED9">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23DE389C">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eastAsia="zh-CN"/>
              </w:rPr>
              <w:t>信用评价</w:t>
            </w:r>
            <w:r>
              <w:rPr>
                <w:rFonts w:hint="default" w:ascii="Times New Roman" w:hAnsi="Times New Roman" w:cs="Times New Roman"/>
                <w:color w:val="auto"/>
              </w:rPr>
              <w:t>被交投集团公司或建设集团评为D级且在处罚期内的供应商；</w:t>
            </w:r>
          </w:p>
          <w:p w14:paraId="31D95E30">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w:t>
            </w:r>
            <w:r>
              <w:rPr>
                <w:rFonts w:hint="eastAsia" w:cs="Times New Roman"/>
                <w:color w:val="auto"/>
                <w:lang w:eastAsia="zh-CN"/>
              </w:rPr>
              <w:t>不良行为记录名单</w:t>
            </w:r>
            <w:r>
              <w:rPr>
                <w:rFonts w:hint="default" w:ascii="Times New Roman" w:hAnsi="Times New Roman" w:cs="Times New Roman"/>
                <w:color w:val="auto"/>
              </w:rPr>
              <w:t>”且在处罚期内的供应商。</w:t>
            </w:r>
          </w:p>
        </w:tc>
      </w:tr>
    </w:tbl>
    <w:p w14:paraId="0AD54154">
      <w:pPr>
        <w:pStyle w:val="5"/>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注：对以上（1）、（2）、（4）信用状况应附指定网站截图</w:t>
      </w:r>
      <w:r>
        <w:rPr>
          <w:rFonts w:hint="eastAsia" w:eastAsia="黑体" w:cs="Times New Roman"/>
          <w:color w:val="auto"/>
          <w:sz w:val="21"/>
          <w:szCs w:val="21"/>
          <w:lang w:eastAsia="zh-CN"/>
        </w:rPr>
        <w:t>（</w:t>
      </w:r>
      <w:r>
        <w:rPr>
          <w:rFonts w:hint="eastAsia" w:eastAsia="黑体" w:cs="Times New Roman"/>
          <w:color w:val="auto"/>
          <w:sz w:val="21"/>
          <w:szCs w:val="21"/>
          <w:lang w:val="en-US" w:eastAsia="zh-CN"/>
        </w:rPr>
        <w:t>网站截图需带日期及截图时间</w:t>
      </w:r>
      <w:r>
        <w:rPr>
          <w:rFonts w:hint="eastAsia" w:eastAsia="黑体" w:cs="Times New Roman"/>
          <w:color w:val="auto"/>
          <w:sz w:val="21"/>
          <w:szCs w:val="21"/>
          <w:lang w:eastAsia="zh-CN"/>
        </w:rPr>
        <w:t>）</w:t>
      </w:r>
      <w:r>
        <w:rPr>
          <w:rFonts w:hint="default" w:ascii="Times New Roman" w:hAnsi="Times New Roman" w:eastAsia="黑体" w:cs="Times New Roman"/>
          <w:color w:val="auto"/>
          <w:sz w:val="21"/>
          <w:szCs w:val="21"/>
        </w:rPr>
        <w:t>。</w:t>
      </w:r>
    </w:p>
    <w:p w14:paraId="39C2B4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C5806"/>
    <w:rsid w:val="0C874292"/>
    <w:rsid w:val="2DCC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1"/>
    </w:pPr>
    <w:rPr>
      <w:rFonts w:ascii="宋体" w:hAnsi="宋体" w:eastAsia="宋体" w:cs="宋体"/>
      <w:lang w:val="zh-CN" w:bidi="zh-CN"/>
    </w:rPr>
  </w:style>
  <w:style w:type="paragraph" w:styleId="3">
    <w:name w:val="Body Text Indent"/>
    <w:basedOn w:val="1"/>
    <w:next w:val="1"/>
    <w:qFormat/>
    <w:uiPriority w:val="0"/>
    <w:pPr>
      <w:spacing w:after="120"/>
      <w:ind w:left="420" w:leftChars="200"/>
    </w:pPr>
  </w:style>
  <w:style w:type="paragraph" w:styleId="4">
    <w:name w:val="Body Text First Indent"/>
    <w:basedOn w:val="2"/>
    <w:next w:val="5"/>
    <w:qFormat/>
    <w:uiPriority w:val="99"/>
    <w:pPr>
      <w:spacing w:line="360" w:lineRule="auto"/>
      <w:ind w:firstLine="420" w:firstLineChars="100"/>
    </w:pPr>
    <w:rPr>
      <w:rFonts w:hAnsi="Times New Roman"/>
      <w:szCs w:val="21"/>
    </w:rPr>
  </w:style>
  <w:style w:type="paragraph" w:styleId="5">
    <w:name w:val="Body Text First Indent 2"/>
    <w:basedOn w:val="3"/>
    <w:next w:val="4"/>
    <w:unhideWhenUsed/>
    <w:qFormat/>
    <w:uiPriority w:val="99"/>
    <w:pPr>
      <w:ind w:firstLine="420" w:firstLineChars="200"/>
    </w:pPr>
    <w:rPr>
      <w:rFonts w:ascii="Times New Roman" w:hAnsi="Times New Roman"/>
    </w:rPr>
  </w:style>
  <w:style w:type="paragraph" w:customStyle="1" w:styleId="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1081</Words>
  <Characters>1170</Characters>
  <Lines>0</Lines>
  <Paragraphs>0</Paragraphs>
  <TotalTime>0</TotalTime>
  <ScaleCrop>false</ScaleCrop>
  <LinksUpToDate>false</LinksUpToDate>
  <CharactersWithSpaces>1207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2025-07-21T07:55:00Z</dcterms:created>
  <dc:creator>张琦云</dc:creator>
  <cp:lastModifiedBy>张琦云</cp:lastModifiedBy>
  <dcterms:modified xsi:type="dcterms:W3CDTF">2025-07-21T08:04:57Z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AA0168F5EFA94F059F85FE0DF1DF9F42_11</vt:lpwstr>
  </property>
  <property fmtid="{D5CDD505-2E9C-101B-9397-08002B2CF9AE}" pid="4" name="KSOTemplateDocerSaveRecord">
    <vt:lpwstr>eyJoZGlkIjoiMDlhZWU1YTBmMTJkY2VjOWY0MmZhNGUzOThiYmRhOGEiLCJ1c2VySWQiOiIxNjg1NzEwNjExIn0=</vt:lpwstr>
  </property>
</Properties>
</file>